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2"/>
        <w:gridCol w:w="645"/>
        <w:gridCol w:w="424"/>
        <w:gridCol w:w="451"/>
        <w:gridCol w:w="428"/>
        <w:gridCol w:w="288"/>
        <w:gridCol w:w="54"/>
        <w:gridCol w:w="513"/>
        <w:gridCol w:w="563"/>
        <w:gridCol w:w="146"/>
        <w:gridCol w:w="421"/>
        <w:gridCol w:w="232"/>
        <w:gridCol w:w="335"/>
        <w:gridCol w:w="532"/>
        <w:gridCol w:w="35"/>
        <w:gridCol w:w="36"/>
        <w:gridCol w:w="532"/>
        <w:gridCol w:w="405"/>
        <w:gridCol w:w="162"/>
        <w:gridCol w:w="160"/>
        <w:gridCol w:w="407"/>
        <w:gridCol w:w="209"/>
        <w:gridCol w:w="358"/>
        <w:gridCol w:w="567"/>
        <w:gridCol w:w="13"/>
        <w:gridCol w:w="1429"/>
        <w:gridCol w:w="10"/>
        <w:tblGridChange w:id="0">
          <w:tblGrid>
            <w:gridCol w:w="1592"/>
            <w:gridCol w:w="645"/>
            <w:gridCol w:w="424"/>
            <w:gridCol w:w="451"/>
            <w:gridCol w:w="428"/>
            <w:gridCol w:w="288"/>
            <w:gridCol w:w="54"/>
            <w:gridCol w:w="513"/>
            <w:gridCol w:w="563"/>
            <w:gridCol w:w="146"/>
            <w:gridCol w:w="421"/>
            <w:gridCol w:w="232"/>
            <w:gridCol w:w="335"/>
            <w:gridCol w:w="532"/>
            <w:gridCol w:w="35"/>
            <w:gridCol w:w="36"/>
            <w:gridCol w:w="532"/>
            <w:gridCol w:w="405"/>
            <w:gridCol w:w="162"/>
            <w:gridCol w:w="160"/>
            <w:gridCol w:w="407"/>
            <w:gridCol w:w="209"/>
            <w:gridCol w:w="358"/>
            <w:gridCol w:w="567"/>
            <w:gridCol w:w="13"/>
            <w:gridCol w:w="1429"/>
            <w:gridCol w:w="10"/>
          </w:tblGrid>
        </w:tblGridChange>
      </w:tblGrid>
      <w:tr w:rsidR="006A701A" w:rsidRPr="00843F77" w:rsidTr="001112D5">
        <w:trPr>
          <w:gridAfter w:val="1"/>
          <w:wAfter w:w="10" w:type="dxa"/>
          <w:trHeight w:val="1611"/>
        </w:trPr>
        <w:tc>
          <w:tcPr>
            <w:tcW w:w="6624" w:type="dxa"/>
            <w:gridSpan w:val="14"/>
          </w:tcPr>
          <w:p w:rsidR="006A701A" w:rsidRPr="00843F77" w:rsidRDefault="006A701A" w:rsidP="00616511">
            <w:pPr>
              <w:spacing w:before="120" w:line="240" w:lineRule="auto"/>
              <w:ind w:hanging="45"/>
              <w:rPr>
                <w:rFonts w:ascii="Times New Roman" w:hAnsi="Times New Roman"/>
                <w:color w:val="000000"/>
              </w:rPr>
            </w:pPr>
            <w:bookmarkStart w:id="1" w:name="t1"/>
            <w:r w:rsidRPr="00843F77">
              <w:rPr>
                <w:rFonts w:ascii="Times New Roman" w:hAnsi="Times New Roman"/>
                <w:b/>
                <w:color w:val="000000"/>
              </w:rPr>
              <w:t xml:space="preserve">Nazwa </w:t>
            </w:r>
            <w:r w:rsidR="001B75D8" w:rsidRPr="00843F77">
              <w:rPr>
                <w:rFonts w:ascii="Times New Roman" w:hAnsi="Times New Roman"/>
                <w:b/>
                <w:color w:val="000000"/>
              </w:rPr>
              <w:t>projektu</w:t>
            </w:r>
          </w:p>
          <w:p w:rsidR="006A701A" w:rsidRPr="00843F77" w:rsidRDefault="004347FD" w:rsidP="00A52ADB">
            <w:pPr>
              <w:spacing w:line="240" w:lineRule="auto"/>
              <w:ind w:hanging="34"/>
              <w:rPr>
                <w:rFonts w:ascii="Times New Roman" w:hAnsi="Times New Roman"/>
                <w:color w:val="000000"/>
              </w:rPr>
            </w:pPr>
            <w:r w:rsidRPr="00843F77">
              <w:rPr>
                <w:rFonts w:ascii="Times New Roman" w:hAnsi="Times New Roman"/>
                <w:color w:val="000000"/>
              </w:rPr>
              <w:t>P</w:t>
            </w:r>
            <w:r w:rsidR="009B5F1E" w:rsidRPr="00843F77">
              <w:rPr>
                <w:rFonts w:ascii="Times New Roman" w:hAnsi="Times New Roman"/>
                <w:color w:val="000000"/>
              </w:rPr>
              <w:t>rojekt ustawy o Narodowym Centrum Rozwoju Społeczeństwa Obywatelskiego</w:t>
            </w:r>
          </w:p>
          <w:p w:rsidR="006A701A" w:rsidRPr="00843F77" w:rsidRDefault="006A701A" w:rsidP="00616511">
            <w:pPr>
              <w:spacing w:before="120" w:line="240" w:lineRule="auto"/>
              <w:ind w:hanging="45"/>
              <w:rPr>
                <w:rFonts w:ascii="Times New Roman" w:hAnsi="Times New Roman"/>
                <w:b/>
                <w:color w:val="000000"/>
              </w:rPr>
            </w:pPr>
            <w:r w:rsidRPr="00843F77">
              <w:rPr>
                <w:rFonts w:ascii="Times New Roman" w:hAnsi="Times New Roman"/>
                <w:b/>
                <w:color w:val="000000"/>
              </w:rPr>
              <w:t>Ministerstwo wiodące i ministerstwa współpracujące</w:t>
            </w:r>
          </w:p>
          <w:bookmarkEnd w:id="1"/>
          <w:p w:rsidR="006A701A" w:rsidRPr="00843F77" w:rsidRDefault="009B5F1E" w:rsidP="00A52ADB">
            <w:pPr>
              <w:spacing w:line="240" w:lineRule="auto"/>
              <w:ind w:hanging="34"/>
              <w:rPr>
                <w:rFonts w:ascii="Times New Roman" w:hAnsi="Times New Roman"/>
                <w:color w:val="000000"/>
              </w:rPr>
            </w:pPr>
            <w:r w:rsidRPr="00843F77">
              <w:rPr>
                <w:rFonts w:ascii="Times New Roman" w:hAnsi="Times New Roman"/>
                <w:color w:val="000000"/>
              </w:rPr>
              <w:t>Kancelaria Prezesa Rady Ministrów</w:t>
            </w:r>
          </w:p>
          <w:p w:rsidR="008A08FD" w:rsidRPr="00843F77" w:rsidRDefault="008A08FD" w:rsidP="00A52ADB">
            <w:pPr>
              <w:spacing w:line="240" w:lineRule="auto"/>
              <w:ind w:hanging="34"/>
              <w:rPr>
                <w:rFonts w:ascii="Times New Roman" w:hAnsi="Times New Roman"/>
                <w:color w:val="000000"/>
              </w:rPr>
            </w:pPr>
          </w:p>
          <w:p w:rsidR="001B3460" w:rsidRPr="00843F77" w:rsidRDefault="001B3460" w:rsidP="001B3460">
            <w:pPr>
              <w:spacing w:line="240" w:lineRule="auto"/>
              <w:rPr>
                <w:rFonts w:ascii="Times New Roman" w:hAnsi="Times New Roman"/>
                <w:b/>
                <w:sz w:val="21"/>
                <w:szCs w:val="21"/>
              </w:rPr>
            </w:pPr>
            <w:r w:rsidRPr="00843F77">
              <w:rPr>
                <w:rFonts w:ascii="Times New Roman" w:hAnsi="Times New Roman"/>
                <w:b/>
                <w:sz w:val="21"/>
                <w:szCs w:val="24"/>
              </w:rPr>
              <w:t>Osoba odpowiedzialna za projekt w randze Ministra, Sekretarza Stanu lub Podsekretarza Stanu</w:t>
            </w:r>
            <w:r w:rsidRPr="00843F77">
              <w:rPr>
                <w:rFonts w:ascii="Times New Roman" w:hAnsi="Times New Roman"/>
                <w:b/>
                <w:sz w:val="21"/>
                <w:szCs w:val="21"/>
              </w:rPr>
              <w:t xml:space="preserve"> </w:t>
            </w:r>
          </w:p>
          <w:p w:rsidR="001B3460" w:rsidRPr="00843F77" w:rsidRDefault="00055BA0" w:rsidP="001B3460">
            <w:pPr>
              <w:spacing w:line="240" w:lineRule="auto"/>
              <w:rPr>
                <w:rFonts w:ascii="Times New Roman" w:hAnsi="Times New Roman"/>
                <w:sz w:val="21"/>
                <w:szCs w:val="21"/>
              </w:rPr>
            </w:pPr>
            <w:r w:rsidRPr="00843F77">
              <w:rPr>
                <w:rFonts w:ascii="Times New Roman" w:hAnsi="Times New Roman"/>
                <w:color w:val="000000"/>
              </w:rPr>
              <w:t xml:space="preserve">Pan </w:t>
            </w:r>
            <w:r w:rsidR="00E32C3B" w:rsidRPr="00843F77">
              <w:rPr>
                <w:rFonts w:ascii="Times New Roman" w:hAnsi="Times New Roman"/>
                <w:color w:val="000000"/>
              </w:rPr>
              <w:t>Adam Lipiński</w:t>
            </w:r>
            <w:r w:rsidRPr="00843F77">
              <w:rPr>
                <w:rFonts w:ascii="Times New Roman" w:hAnsi="Times New Roman"/>
                <w:color w:val="000000"/>
              </w:rPr>
              <w:t xml:space="preserve"> </w:t>
            </w:r>
            <w:r w:rsidR="00E05544" w:rsidRPr="00843F77">
              <w:rPr>
                <w:rFonts w:ascii="Times New Roman" w:hAnsi="Times New Roman"/>
                <w:color w:val="000000"/>
              </w:rPr>
              <w:t>– Sekretarz Stanu</w:t>
            </w:r>
            <w:r w:rsidR="000A223E" w:rsidRPr="00843F77">
              <w:rPr>
                <w:rFonts w:ascii="Times New Roman" w:hAnsi="Times New Roman"/>
                <w:color w:val="000000"/>
              </w:rPr>
              <w:t xml:space="preserve"> w Kancelarii Prezesa Rady Ministrów</w:t>
            </w:r>
            <w:r w:rsidR="00E05544" w:rsidRPr="00843F77">
              <w:rPr>
                <w:rFonts w:ascii="Times New Roman" w:hAnsi="Times New Roman"/>
                <w:color w:val="000000"/>
              </w:rPr>
              <w:t xml:space="preserve">, </w:t>
            </w:r>
            <w:r w:rsidR="009B5F1E" w:rsidRPr="00843F77">
              <w:rPr>
                <w:rFonts w:ascii="Times New Roman" w:hAnsi="Times New Roman"/>
                <w:color w:val="000000"/>
              </w:rPr>
              <w:t xml:space="preserve">Pełnomocnik Rządu do </w:t>
            </w:r>
            <w:r w:rsidR="00385B72" w:rsidRPr="00843F77">
              <w:rPr>
                <w:rFonts w:ascii="Times New Roman" w:hAnsi="Times New Roman"/>
                <w:color w:val="000000"/>
              </w:rPr>
              <w:t>s</w:t>
            </w:r>
            <w:r w:rsidR="009B5F1E" w:rsidRPr="00843F77">
              <w:rPr>
                <w:rFonts w:ascii="Times New Roman" w:hAnsi="Times New Roman"/>
                <w:color w:val="000000"/>
              </w:rPr>
              <w:t xml:space="preserve">praw </w:t>
            </w:r>
            <w:r w:rsidR="00385B72" w:rsidRPr="00843F77">
              <w:rPr>
                <w:rFonts w:ascii="Times New Roman" w:hAnsi="Times New Roman"/>
                <w:color w:val="000000"/>
              </w:rPr>
              <w:t>s</w:t>
            </w:r>
            <w:r w:rsidR="009B5F1E" w:rsidRPr="00843F77">
              <w:rPr>
                <w:rFonts w:ascii="Times New Roman" w:hAnsi="Times New Roman"/>
                <w:color w:val="000000"/>
              </w:rPr>
              <w:t xml:space="preserve">połeczeństwa </w:t>
            </w:r>
            <w:r w:rsidR="00385B72" w:rsidRPr="00843F77">
              <w:rPr>
                <w:rFonts w:ascii="Times New Roman" w:hAnsi="Times New Roman"/>
                <w:color w:val="000000"/>
              </w:rPr>
              <w:t>o</w:t>
            </w:r>
            <w:r w:rsidR="009B5F1E" w:rsidRPr="00843F77">
              <w:rPr>
                <w:rFonts w:ascii="Times New Roman" w:hAnsi="Times New Roman"/>
                <w:color w:val="000000"/>
              </w:rPr>
              <w:t>bywatelskiego</w:t>
            </w:r>
          </w:p>
          <w:p w:rsidR="006A701A" w:rsidRPr="00843F77" w:rsidRDefault="006A701A" w:rsidP="00616511">
            <w:pPr>
              <w:spacing w:before="120" w:line="240" w:lineRule="auto"/>
              <w:ind w:hanging="45"/>
              <w:rPr>
                <w:rFonts w:ascii="Times New Roman" w:hAnsi="Times New Roman"/>
                <w:b/>
                <w:color w:val="000000"/>
              </w:rPr>
            </w:pPr>
            <w:r w:rsidRPr="00843F77">
              <w:rPr>
                <w:rFonts w:ascii="Times New Roman" w:hAnsi="Times New Roman"/>
                <w:b/>
                <w:color w:val="000000"/>
              </w:rPr>
              <w:t>Kontakt do opiekuna merytorycznego projektu</w:t>
            </w:r>
          </w:p>
          <w:p w:rsidR="009B5F1E" w:rsidRDefault="00B85AC4" w:rsidP="009B5F1E">
            <w:pPr>
              <w:spacing w:line="240" w:lineRule="auto"/>
              <w:ind w:hanging="34"/>
              <w:rPr>
                <w:rFonts w:ascii="Times New Roman" w:hAnsi="Times New Roman"/>
                <w:color w:val="000000"/>
              </w:rPr>
            </w:pPr>
            <w:r>
              <w:rPr>
                <w:rFonts w:ascii="Times New Roman" w:hAnsi="Times New Roman"/>
                <w:color w:val="000000"/>
              </w:rPr>
              <w:t xml:space="preserve">Wojciech Kaczmarczyk, Dyrektor Departamentu Społeczeństwa Obywatelskiego </w:t>
            </w:r>
          </w:p>
          <w:p w:rsidR="00B85AC4" w:rsidRPr="00B85AC4" w:rsidRDefault="00B85AC4" w:rsidP="009B5F1E">
            <w:pPr>
              <w:spacing w:line="240" w:lineRule="auto"/>
              <w:ind w:hanging="34"/>
              <w:rPr>
                <w:rFonts w:ascii="Times New Roman" w:hAnsi="Times New Roman"/>
                <w:color w:val="000000"/>
                <w:lang w:val="en-US"/>
              </w:rPr>
            </w:pPr>
            <w:r w:rsidRPr="00B85AC4">
              <w:rPr>
                <w:rFonts w:ascii="Times New Roman" w:hAnsi="Times New Roman"/>
                <w:color w:val="000000"/>
                <w:lang w:val="en-US"/>
              </w:rPr>
              <w:t xml:space="preserve">e-mail: Wojciech.Kaczmarczyk@kprm.gov.pl tel. </w:t>
            </w:r>
            <w:r>
              <w:rPr>
                <w:rFonts w:ascii="Times New Roman" w:hAnsi="Times New Roman"/>
                <w:color w:val="000000"/>
                <w:lang w:val="en-US"/>
              </w:rPr>
              <w:t>22 694 63 64</w:t>
            </w:r>
          </w:p>
          <w:p w:rsidR="009B5F1E" w:rsidRPr="00B85AC4" w:rsidRDefault="009B5F1E" w:rsidP="009B5F1E">
            <w:pPr>
              <w:spacing w:line="240" w:lineRule="auto"/>
              <w:ind w:hanging="34"/>
              <w:rPr>
                <w:rFonts w:ascii="Times New Roman" w:hAnsi="Times New Roman"/>
                <w:color w:val="000000"/>
                <w:lang w:val="en-US"/>
              </w:rPr>
            </w:pPr>
          </w:p>
          <w:p w:rsidR="001B6560" w:rsidRPr="00B85AC4" w:rsidRDefault="001B6560" w:rsidP="009B5F1E">
            <w:pPr>
              <w:spacing w:line="240" w:lineRule="auto"/>
              <w:ind w:hanging="34"/>
              <w:rPr>
                <w:rFonts w:ascii="Times New Roman" w:hAnsi="Times New Roman"/>
                <w:color w:val="000000"/>
                <w:lang w:val="en-US"/>
              </w:rPr>
            </w:pPr>
          </w:p>
        </w:tc>
        <w:tc>
          <w:tcPr>
            <w:tcW w:w="4313" w:type="dxa"/>
            <w:gridSpan w:val="12"/>
            <w:shd w:val="clear" w:color="auto" w:fill="FFFFFF"/>
          </w:tcPr>
          <w:p w:rsidR="001B3460" w:rsidRPr="00843F77" w:rsidRDefault="001B3460" w:rsidP="001B3460">
            <w:pPr>
              <w:spacing w:line="240" w:lineRule="auto"/>
              <w:rPr>
                <w:rFonts w:ascii="Times New Roman" w:hAnsi="Times New Roman"/>
                <w:b/>
                <w:sz w:val="21"/>
                <w:szCs w:val="21"/>
              </w:rPr>
            </w:pPr>
            <w:r w:rsidRPr="00843F77">
              <w:rPr>
                <w:rFonts w:ascii="Times New Roman" w:hAnsi="Times New Roman"/>
                <w:b/>
                <w:sz w:val="21"/>
                <w:szCs w:val="21"/>
              </w:rPr>
              <w:t>Data sporządzenia</w:t>
            </w:r>
            <w:r w:rsidRPr="00843F77">
              <w:rPr>
                <w:rFonts w:ascii="Times New Roman" w:hAnsi="Times New Roman"/>
                <w:b/>
                <w:sz w:val="21"/>
                <w:szCs w:val="21"/>
              </w:rPr>
              <w:br/>
            </w:r>
            <w:r w:rsidR="00D12B89">
              <w:rPr>
                <w:rFonts w:ascii="Times New Roman" w:hAnsi="Times New Roman"/>
                <w:sz w:val="21"/>
                <w:szCs w:val="21"/>
              </w:rPr>
              <w:t>30</w:t>
            </w:r>
            <w:r w:rsidR="00F51746">
              <w:rPr>
                <w:rFonts w:ascii="Times New Roman" w:hAnsi="Times New Roman"/>
                <w:sz w:val="21"/>
                <w:szCs w:val="21"/>
              </w:rPr>
              <w:t>.05</w:t>
            </w:r>
            <w:r w:rsidR="00F33AE4">
              <w:rPr>
                <w:rFonts w:ascii="Times New Roman" w:hAnsi="Times New Roman"/>
                <w:sz w:val="21"/>
                <w:szCs w:val="21"/>
              </w:rPr>
              <w:t>.</w:t>
            </w:r>
            <w:r w:rsidR="00E73390">
              <w:rPr>
                <w:rFonts w:ascii="Times New Roman" w:hAnsi="Times New Roman"/>
                <w:sz w:val="21"/>
                <w:szCs w:val="21"/>
              </w:rPr>
              <w:t>2017</w:t>
            </w:r>
            <w:r w:rsidR="009B5F1E" w:rsidRPr="00843F77">
              <w:rPr>
                <w:rFonts w:ascii="Times New Roman" w:hAnsi="Times New Roman"/>
                <w:sz w:val="21"/>
                <w:szCs w:val="21"/>
              </w:rPr>
              <w:t xml:space="preserve"> r.</w:t>
            </w:r>
          </w:p>
          <w:p w:rsidR="00F76884" w:rsidRPr="00843F77" w:rsidRDefault="00F76884" w:rsidP="00F76884">
            <w:pPr>
              <w:spacing w:line="240" w:lineRule="auto"/>
              <w:rPr>
                <w:rFonts w:ascii="Times New Roman" w:hAnsi="Times New Roman"/>
                <w:b/>
              </w:rPr>
            </w:pPr>
          </w:p>
          <w:p w:rsidR="00F76884" w:rsidRPr="00843F77" w:rsidRDefault="00F76884" w:rsidP="00F76884">
            <w:pPr>
              <w:spacing w:line="240" w:lineRule="auto"/>
              <w:rPr>
                <w:rFonts w:ascii="Times New Roman" w:hAnsi="Times New Roman"/>
                <w:b/>
              </w:rPr>
            </w:pPr>
            <w:r w:rsidRPr="00843F77">
              <w:rPr>
                <w:rFonts w:ascii="Times New Roman" w:hAnsi="Times New Roman"/>
                <w:b/>
              </w:rPr>
              <w:t xml:space="preserve">Źródło: </w:t>
            </w:r>
            <w:bookmarkStart w:id="2" w:name="Lista1"/>
          </w:p>
          <w:bookmarkEnd w:id="2"/>
          <w:p w:rsidR="00F76884" w:rsidRPr="00843F77" w:rsidRDefault="00E72004" w:rsidP="00F76884">
            <w:pPr>
              <w:spacing w:line="240" w:lineRule="auto"/>
              <w:rPr>
                <w:rFonts w:ascii="Times New Roman" w:hAnsi="Times New Roman"/>
              </w:rPr>
            </w:pPr>
            <w:r w:rsidRPr="00843F77">
              <w:rPr>
                <w:rFonts w:ascii="Times New Roman" w:hAnsi="Times New Roman"/>
              </w:rPr>
              <w:t>Decyzja Prezesa Rady Ministrów</w:t>
            </w:r>
          </w:p>
          <w:p w:rsidR="006A701A" w:rsidRPr="00843F77" w:rsidRDefault="006A701A" w:rsidP="00401DFE">
            <w:pPr>
              <w:spacing w:before="120" w:line="240" w:lineRule="auto"/>
              <w:rPr>
                <w:rFonts w:ascii="Times New Roman" w:hAnsi="Times New Roman"/>
                <w:color w:val="000000"/>
                <w:sz w:val="28"/>
                <w:szCs w:val="28"/>
              </w:rPr>
            </w:pPr>
            <w:r w:rsidRPr="00843F77">
              <w:rPr>
                <w:rFonts w:ascii="Times New Roman" w:hAnsi="Times New Roman"/>
                <w:b/>
              </w:rPr>
              <w:t xml:space="preserve">Nr </w:t>
            </w:r>
            <w:r w:rsidR="0057668E" w:rsidRPr="00843F77">
              <w:rPr>
                <w:rFonts w:ascii="Times New Roman" w:hAnsi="Times New Roman"/>
                <w:b/>
              </w:rPr>
              <w:t>w</w:t>
            </w:r>
            <w:r w:rsidRPr="00843F77">
              <w:rPr>
                <w:rFonts w:ascii="Times New Roman" w:hAnsi="Times New Roman"/>
                <w:b/>
              </w:rPr>
              <w:t xml:space="preserve"> wykaz</w:t>
            </w:r>
            <w:r w:rsidR="0057668E" w:rsidRPr="00843F77">
              <w:rPr>
                <w:rFonts w:ascii="Times New Roman" w:hAnsi="Times New Roman"/>
                <w:b/>
              </w:rPr>
              <w:t>ie</w:t>
            </w:r>
            <w:r w:rsidRPr="00843F77">
              <w:rPr>
                <w:rFonts w:ascii="Times New Roman" w:hAnsi="Times New Roman"/>
                <w:b/>
              </w:rPr>
              <w:t xml:space="preserve"> prac</w:t>
            </w:r>
            <w:r w:rsidR="0085594C">
              <w:rPr>
                <w:rFonts w:ascii="Times New Roman" w:hAnsi="Times New Roman"/>
                <w:b/>
              </w:rPr>
              <w:t>:</w:t>
            </w:r>
            <w:r w:rsidRPr="00843F77">
              <w:rPr>
                <w:rFonts w:ascii="Times New Roman" w:hAnsi="Times New Roman"/>
                <w:b/>
              </w:rPr>
              <w:t xml:space="preserve"> </w:t>
            </w:r>
            <w:r w:rsidR="0085594C" w:rsidRPr="00401DFE">
              <w:rPr>
                <w:rFonts w:ascii="Times New Roman" w:hAnsi="Times New Roman"/>
                <w:sz w:val="24"/>
                <w:szCs w:val="24"/>
              </w:rPr>
              <w:t>UD173</w:t>
            </w:r>
            <w:r w:rsidR="0085594C">
              <w:rPr>
                <w:rFonts w:ascii="Times New Roman" w:hAnsi="Times New Roman"/>
                <w:b/>
              </w:rPr>
              <w:t>.</w:t>
            </w:r>
          </w:p>
        </w:tc>
      </w:tr>
      <w:tr w:rsidR="006A701A" w:rsidRPr="00843F77" w:rsidTr="00676C8D">
        <w:trPr>
          <w:gridAfter w:val="1"/>
          <w:wAfter w:w="10" w:type="dxa"/>
          <w:trHeight w:val="142"/>
        </w:trPr>
        <w:tc>
          <w:tcPr>
            <w:tcW w:w="10937" w:type="dxa"/>
            <w:gridSpan w:val="26"/>
            <w:shd w:val="clear" w:color="auto" w:fill="99CCFF"/>
          </w:tcPr>
          <w:p w:rsidR="006A701A" w:rsidRPr="00843F77" w:rsidRDefault="006A701A" w:rsidP="001B4CA1">
            <w:pPr>
              <w:spacing w:line="240" w:lineRule="auto"/>
              <w:ind w:left="57"/>
              <w:jc w:val="center"/>
              <w:rPr>
                <w:rFonts w:ascii="Times New Roman" w:hAnsi="Times New Roman"/>
                <w:b/>
                <w:color w:val="FFFFFF"/>
                <w:sz w:val="32"/>
                <w:szCs w:val="32"/>
              </w:rPr>
            </w:pPr>
            <w:r w:rsidRPr="00843F77">
              <w:rPr>
                <w:rFonts w:ascii="Times New Roman" w:hAnsi="Times New Roman"/>
                <w:b/>
                <w:color w:val="FFFFFF"/>
                <w:sz w:val="32"/>
                <w:szCs w:val="32"/>
              </w:rPr>
              <w:t>OCENA SKUTKÓW REGULACJI</w:t>
            </w:r>
          </w:p>
        </w:tc>
      </w:tr>
      <w:tr w:rsidR="006A701A" w:rsidRPr="00843F77" w:rsidTr="00676C8D">
        <w:trPr>
          <w:gridAfter w:val="1"/>
          <w:wAfter w:w="10" w:type="dxa"/>
          <w:trHeight w:val="333"/>
        </w:trPr>
        <w:tc>
          <w:tcPr>
            <w:tcW w:w="10937" w:type="dxa"/>
            <w:gridSpan w:val="26"/>
            <w:shd w:val="clear" w:color="auto" w:fill="99CCFF"/>
            <w:vAlign w:val="center"/>
          </w:tcPr>
          <w:p w:rsidR="006A701A" w:rsidRPr="00843F77" w:rsidRDefault="003D12F6" w:rsidP="006A701A">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rPr>
              <w:t xml:space="preserve">Jaki problem jest </w:t>
            </w:r>
            <w:r w:rsidR="00CC6305" w:rsidRPr="00843F77">
              <w:rPr>
                <w:rFonts w:ascii="Times New Roman" w:hAnsi="Times New Roman"/>
                <w:b/>
              </w:rPr>
              <w:t>rozwiązywany?</w:t>
            </w:r>
            <w:bookmarkStart w:id="3" w:name="Wybór1"/>
            <w:bookmarkEnd w:id="3"/>
          </w:p>
        </w:tc>
      </w:tr>
      <w:tr w:rsidR="006A701A" w:rsidRPr="00843F77" w:rsidTr="00676C8D">
        <w:trPr>
          <w:gridAfter w:val="1"/>
          <w:wAfter w:w="10" w:type="dxa"/>
          <w:trHeight w:val="142"/>
        </w:trPr>
        <w:tc>
          <w:tcPr>
            <w:tcW w:w="10937" w:type="dxa"/>
            <w:gridSpan w:val="26"/>
            <w:shd w:val="clear" w:color="auto" w:fill="FFFFFF"/>
          </w:tcPr>
          <w:p w:rsidR="005229E6" w:rsidRPr="00843F77" w:rsidRDefault="005229E6" w:rsidP="007558CC">
            <w:pPr>
              <w:spacing w:line="240" w:lineRule="auto"/>
              <w:jc w:val="both"/>
              <w:rPr>
                <w:rFonts w:ascii="Times New Roman" w:hAnsi="Times New Roman"/>
                <w:color w:val="000000"/>
              </w:rPr>
            </w:pPr>
          </w:p>
          <w:p w:rsidR="007558CC" w:rsidRDefault="00176BD5" w:rsidP="007558CC">
            <w:pPr>
              <w:spacing w:line="240" w:lineRule="auto"/>
              <w:jc w:val="both"/>
              <w:rPr>
                <w:rFonts w:ascii="Times New Roman" w:hAnsi="Times New Roman"/>
                <w:color w:val="000000"/>
              </w:rPr>
            </w:pPr>
            <w:r w:rsidRPr="005654B4">
              <w:rPr>
                <w:rFonts w:ascii="Times New Roman" w:hAnsi="Times New Roman"/>
                <w:color w:val="000000"/>
              </w:rPr>
              <w:t>Regulacja tworzy warunki prawne</w:t>
            </w:r>
            <w:r w:rsidR="009B5F1E" w:rsidRPr="005654B4">
              <w:rPr>
                <w:rFonts w:ascii="Times New Roman" w:hAnsi="Times New Roman"/>
                <w:color w:val="000000"/>
              </w:rPr>
              <w:t xml:space="preserve"> dla istnienia Narodowego Centrum Rozwoju Społeczeństwa Obywatelskiego</w:t>
            </w:r>
            <w:r w:rsidRPr="005654B4">
              <w:rPr>
                <w:rFonts w:ascii="Times New Roman" w:hAnsi="Times New Roman"/>
                <w:color w:val="000000"/>
              </w:rPr>
              <w:t xml:space="preserve"> jako nowego podmiotu właściwego </w:t>
            </w:r>
            <w:r w:rsidR="009B5F1E" w:rsidRPr="005654B4">
              <w:rPr>
                <w:rFonts w:ascii="Times New Roman" w:hAnsi="Times New Roman"/>
                <w:color w:val="000000"/>
              </w:rPr>
              <w:t>w zakresie wdrażania polityki rozwoju społeczeństwa obywatelskiego</w:t>
            </w:r>
            <w:r w:rsidR="003325F9" w:rsidRPr="005654B4">
              <w:rPr>
                <w:rFonts w:ascii="Times New Roman" w:hAnsi="Times New Roman"/>
                <w:color w:val="000000"/>
              </w:rPr>
              <w:t>,</w:t>
            </w:r>
            <w:r w:rsidR="009B5F1E" w:rsidRPr="005654B4">
              <w:rPr>
                <w:rFonts w:ascii="Times New Roman" w:hAnsi="Times New Roman"/>
                <w:color w:val="000000"/>
              </w:rPr>
              <w:t xml:space="preserve"> opartej </w:t>
            </w:r>
            <w:r w:rsidR="00EE74CE" w:rsidRPr="005654B4">
              <w:rPr>
                <w:rFonts w:ascii="Times New Roman" w:hAnsi="Times New Roman"/>
                <w:color w:val="000000"/>
              </w:rPr>
              <w:br/>
            </w:r>
            <w:r w:rsidR="009B5F1E" w:rsidRPr="005654B4">
              <w:rPr>
                <w:rFonts w:ascii="Times New Roman" w:hAnsi="Times New Roman"/>
                <w:color w:val="000000"/>
              </w:rPr>
              <w:t>na zasadac</w:t>
            </w:r>
            <w:r w:rsidRPr="005654B4">
              <w:rPr>
                <w:rFonts w:ascii="Times New Roman" w:hAnsi="Times New Roman"/>
                <w:color w:val="000000"/>
              </w:rPr>
              <w:t>h otwartości, konkurencyjności</w:t>
            </w:r>
            <w:r w:rsidR="005B0AB0" w:rsidRPr="005654B4">
              <w:rPr>
                <w:rFonts w:ascii="Times New Roman" w:hAnsi="Times New Roman"/>
                <w:color w:val="000000"/>
              </w:rPr>
              <w:t>,</w:t>
            </w:r>
            <w:r w:rsidR="009B5F1E" w:rsidRPr="005654B4">
              <w:rPr>
                <w:rFonts w:ascii="Times New Roman" w:hAnsi="Times New Roman"/>
                <w:color w:val="000000"/>
              </w:rPr>
              <w:t xml:space="preserve"> przejrzystości</w:t>
            </w:r>
            <w:r w:rsidR="005B0AB0" w:rsidRPr="005654B4">
              <w:rPr>
                <w:rFonts w:ascii="Times New Roman" w:hAnsi="Times New Roman"/>
                <w:color w:val="000000"/>
              </w:rPr>
              <w:t xml:space="preserve"> oraz suwerenności stron, partnerstwa i efektywności</w:t>
            </w:r>
            <w:r w:rsidR="009B5F1E" w:rsidRPr="005654B4">
              <w:rPr>
                <w:rFonts w:ascii="Times New Roman" w:hAnsi="Times New Roman"/>
                <w:color w:val="000000"/>
              </w:rPr>
              <w:t xml:space="preserve">. Odbywać się to będzie m.in. w ramach przesunięcia do Narodowego Centrum zadań dotyczących </w:t>
            </w:r>
            <w:r w:rsidR="00964D73" w:rsidRPr="005654B4">
              <w:rPr>
                <w:rFonts w:ascii="Times New Roman" w:hAnsi="Times New Roman"/>
                <w:color w:val="000000"/>
              </w:rPr>
              <w:t>III sektora</w:t>
            </w:r>
            <w:r w:rsidR="009B5F1E" w:rsidRPr="005654B4">
              <w:rPr>
                <w:rFonts w:ascii="Times New Roman" w:hAnsi="Times New Roman"/>
                <w:color w:val="000000"/>
              </w:rPr>
              <w:t xml:space="preserve"> (pożytek publiczny </w:t>
            </w:r>
            <w:r w:rsidR="001B6560" w:rsidRPr="005654B4">
              <w:rPr>
                <w:rFonts w:ascii="Times New Roman" w:hAnsi="Times New Roman"/>
                <w:color w:val="000000"/>
              </w:rPr>
              <w:br/>
            </w:r>
            <w:r w:rsidR="009B5F1E" w:rsidRPr="005654B4">
              <w:rPr>
                <w:rFonts w:ascii="Times New Roman" w:hAnsi="Times New Roman"/>
                <w:color w:val="000000"/>
              </w:rPr>
              <w:t>i wolontariat), będących dotychczas w kompetencji ministra właściwego do spraw zabezpieczenia społecznego,</w:t>
            </w:r>
            <w:r w:rsidR="008A08FD" w:rsidRPr="005654B4">
              <w:rPr>
                <w:rFonts w:ascii="Times New Roman" w:hAnsi="Times New Roman"/>
                <w:color w:val="000000"/>
              </w:rPr>
              <w:t xml:space="preserve"> </w:t>
            </w:r>
            <w:r w:rsidR="00EE74CE" w:rsidRPr="005654B4">
              <w:rPr>
                <w:rFonts w:ascii="Times New Roman" w:hAnsi="Times New Roman"/>
                <w:color w:val="000000"/>
              </w:rPr>
              <w:br/>
            </w:r>
            <w:r w:rsidR="009B5F1E" w:rsidRPr="005654B4">
              <w:rPr>
                <w:rFonts w:ascii="Times New Roman" w:hAnsi="Times New Roman"/>
                <w:color w:val="000000"/>
              </w:rPr>
              <w:t>oraz nadania</w:t>
            </w:r>
            <w:r w:rsidR="005229E6" w:rsidRPr="005654B4">
              <w:rPr>
                <w:rFonts w:ascii="Times New Roman" w:hAnsi="Times New Roman"/>
                <w:color w:val="000000"/>
              </w:rPr>
              <w:t xml:space="preserve"> Narodowemu Centrum</w:t>
            </w:r>
            <w:r w:rsidR="009B5F1E" w:rsidRPr="005654B4">
              <w:rPr>
                <w:rFonts w:ascii="Times New Roman" w:hAnsi="Times New Roman"/>
                <w:color w:val="000000"/>
              </w:rPr>
              <w:t xml:space="preserve"> funkcji instytucji odpowiedzialnej za dystrybucję środków w tym zakresie.</w:t>
            </w:r>
            <w:r w:rsidR="007558CC" w:rsidRPr="005654B4">
              <w:rPr>
                <w:rFonts w:ascii="Times New Roman" w:hAnsi="Times New Roman"/>
                <w:color w:val="000000"/>
              </w:rPr>
              <w:t xml:space="preserve"> </w:t>
            </w:r>
          </w:p>
          <w:p w:rsidR="00E73390" w:rsidRDefault="00E73390" w:rsidP="007558CC">
            <w:pPr>
              <w:spacing w:line="240" w:lineRule="auto"/>
              <w:jc w:val="both"/>
              <w:rPr>
                <w:rFonts w:ascii="Times New Roman" w:hAnsi="Times New Roman"/>
                <w:color w:val="000000"/>
              </w:rPr>
            </w:pPr>
          </w:p>
          <w:p w:rsidR="00E73390" w:rsidRPr="00E73390" w:rsidRDefault="00E73390" w:rsidP="007558CC">
            <w:pPr>
              <w:spacing w:line="240" w:lineRule="auto"/>
              <w:jc w:val="both"/>
              <w:rPr>
                <w:rFonts w:ascii="Times New Roman" w:hAnsi="Times New Roman"/>
                <w:color w:val="000000"/>
              </w:rPr>
            </w:pPr>
            <w:r w:rsidRPr="00E73390">
              <w:rPr>
                <w:rFonts w:ascii="Times New Roman" w:hAnsi="Times New Roman"/>
                <w:color w:val="000000"/>
              </w:rPr>
              <w:t>Zmiana dotycząca realizacji polityki państwa w zakresie pożytku publicznego i szerzej wsparcia rozwoju społeczeństwa obywatelskiego oraz powierzenie jej Prezesowi Rady Ministrów oraz agencji wykonawczej – Narodowemu Centrum Rozwoju Społeczeństwa Obywatelskiego ma charakter systemowy i znaczenie fundamentalne z punktu widzenia miejsca organizacji obywatelskich w społeczeństwie</w:t>
            </w:r>
            <w:r w:rsidR="002E38F4">
              <w:rPr>
                <w:rFonts w:ascii="Times New Roman" w:hAnsi="Times New Roman"/>
                <w:color w:val="000000"/>
              </w:rPr>
              <w:t>.</w:t>
            </w:r>
            <w:r w:rsidR="00CA6851">
              <w:rPr>
                <w:rFonts w:ascii="Times New Roman" w:hAnsi="Times New Roman"/>
                <w:color w:val="000000"/>
              </w:rPr>
              <w:t xml:space="preserve"> Zarówno badania sektora pozarządowego (m.in. GUS, KLON/JAWOR, ISKK) jak też debaty prowadzone wewnątrz sektora pokazują, że mimo realnego wzrostu potencjału organizacyjnego i coraz bardziej aktywnego uczestnictwa w życiu publicznym (rozwój formalnych i niesformalizowanych nurtów zorganizowanego społeczeństwa obywatelskiego, realizacja zadań publicznych, rozwijające się instytucje dialogu obywatelskiego, itp.) sektor ten jest wciąż słaby, podatny na takie negatywne zjawiska jak: </w:t>
            </w:r>
            <w:r w:rsidR="00502C7B">
              <w:rPr>
                <w:rFonts w:ascii="Times New Roman" w:hAnsi="Times New Roman"/>
                <w:color w:val="000000"/>
              </w:rPr>
              <w:t>słabość ekonomiczna, brak stabilizacji w organizacjach, uzależnienie od środków publicznych, grantoza, oligarchizacja części sekrora</w:t>
            </w:r>
            <w:r w:rsidR="00CA6851">
              <w:rPr>
                <w:rFonts w:ascii="Times New Roman" w:hAnsi="Times New Roman"/>
                <w:color w:val="000000"/>
              </w:rPr>
              <w:t xml:space="preserve">. </w:t>
            </w:r>
            <w:r w:rsidR="00502C7B">
              <w:rPr>
                <w:rFonts w:ascii="Times New Roman" w:hAnsi="Times New Roman"/>
                <w:color w:val="000000"/>
              </w:rPr>
              <w:t xml:space="preserve">Ponadto coraz więcej środowisk wskazuje na nierównomierny dostęp do zasobów i dialogu obywatelskiego wynikający m.in. z tego, że wiele środowisk (zwłaszcza tych, które działają w dużym oddaleniu do centrów życia społecznego) nie miało do tej pory dostatecznej szansy, aby stworzyć organizacyjne i ekonomiczne fundamenty swej aktywności na równi z tymi organizacjami, które od lat są uczestnikami i beneficjentami różnych programów publicznych. Państwo (rząd i samorządy), przy zachowaniu pełnej autonomii sektora, może pełnić aktywną politykę wspierania rozwoju społeczeństwa obywatelskiego. </w:t>
            </w:r>
          </w:p>
          <w:p w:rsidR="005E5D16" w:rsidRPr="005654B4" w:rsidRDefault="005E5D16" w:rsidP="007558CC">
            <w:pPr>
              <w:spacing w:line="240" w:lineRule="auto"/>
              <w:jc w:val="both"/>
              <w:rPr>
                <w:rFonts w:ascii="Times New Roman" w:hAnsi="Times New Roman"/>
                <w:color w:val="000000"/>
              </w:rPr>
            </w:pPr>
          </w:p>
          <w:p w:rsidR="00015A2D" w:rsidRDefault="00DD770E" w:rsidP="006E2658">
            <w:pPr>
              <w:spacing w:line="240" w:lineRule="auto"/>
              <w:jc w:val="both"/>
              <w:rPr>
                <w:rFonts w:ascii="Times New Roman" w:hAnsi="Times New Roman"/>
                <w:color w:val="000000"/>
              </w:rPr>
            </w:pPr>
            <w:r w:rsidRPr="005654B4">
              <w:rPr>
                <w:rFonts w:ascii="Times New Roman" w:hAnsi="Times New Roman"/>
                <w:color w:val="000000"/>
              </w:rPr>
              <w:t xml:space="preserve">W Polsce </w:t>
            </w:r>
            <w:r w:rsidR="006E2658" w:rsidRPr="005654B4">
              <w:rPr>
                <w:rFonts w:ascii="Times New Roman" w:hAnsi="Times New Roman"/>
                <w:color w:val="000000"/>
              </w:rPr>
              <w:t xml:space="preserve">jednostką odpowiedzialną za wdrożenie i promocję rozwiązań przyjętych w ustawie </w:t>
            </w:r>
            <w:r w:rsidR="00DE4A19">
              <w:rPr>
                <w:rFonts w:ascii="Times New Roman" w:hAnsi="Times New Roman"/>
                <w:color w:val="000000"/>
              </w:rPr>
              <w:t xml:space="preserve">z dnia 24 kwietnia 2003 r. (Dz.U. z 2016 r. poz. 1817 z późn. zm.) </w:t>
            </w:r>
            <w:r w:rsidR="006E2658" w:rsidRPr="005654B4">
              <w:rPr>
                <w:rFonts w:ascii="Times New Roman" w:hAnsi="Times New Roman"/>
                <w:color w:val="000000"/>
              </w:rPr>
              <w:t xml:space="preserve">o działalności pożytku publicznego i o wolontariacie </w:t>
            </w:r>
            <w:r w:rsidR="007558CC" w:rsidRPr="005654B4">
              <w:rPr>
                <w:rFonts w:ascii="Times New Roman" w:hAnsi="Times New Roman"/>
                <w:color w:val="000000"/>
              </w:rPr>
              <w:t xml:space="preserve">jest </w:t>
            </w:r>
            <w:r w:rsidR="006E2658" w:rsidRPr="005654B4">
              <w:rPr>
                <w:rFonts w:ascii="Times New Roman" w:hAnsi="Times New Roman"/>
                <w:color w:val="000000"/>
              </w:rPr>
              <w:t xml:space="preserve">Departament </w:t>
            </w:r>
            <w:r w:rsidR="00680E09">
              <w:rPr>
                <w:rFonts w:ascii="Times New Roman" w:hAnsi="Times New Roman"/>
                <w:color w:val="000000"/>
              </w:rPr>
              <w:t xml:space="preserve">Ekonomii Społecznej i </w:t>
            </w:r>
            <w:r w:rsidR="006E2658" w:rsidRPr="005654B4">
              <w:rPr>
                <w:rFonts w:ascii="Times New Roman" w:hAnsi="Times New Roman"/>
                <w:color w:val="000000"/>
              </w:rPr>
              <w:t>Pożytku Publicznego (D</w:t>
            </w:r>
            <w:r w:rsidR="00680E09">
              <w:rPr>
                <w:rFonts w:ascii="Times New Roman" w:hAnsi="Times New Roman"/>
                <w:color w:val="000000"/>
              </w:rPr>
              <w:t>ESi</w:t>
            </w:r>
            <w:r w:rsidR="006E2658" w:rsidRPr="005654B4">
              <w:rPr>
                <w:rFonts w:ascii="Times New Roman" w:hAnsi="Times New Roman"/>
                <w:color w:val="000000"/>
              </w:rPr>
              <w:t xml:space="preserve">PP), podległy ministrowi właściwemu </w:t>
            </w:r>
            <w:r w:rsidR="007558CC" w:rsidRPr="005654B4">
              <w:rPr>
                <w:rFonts w:ascii="Times New Roman" w:hAnsi="Times New Roman"/>
                <w:color w:val="000000"/>
              </w:rPr>
              <w:t>ds. zabezpieczenia</w:t>
            </w:r>
            <w:r w:rsidR="005E5D16">
              <w:rPr>
                <w:rFonts w:ascii="Times New Roman" w:hAnsi="Times New Roman"/>
                <w:color w:val="000000"/>
              </w:rPr>
              <w:t xml:space="preserve"> społecznego. </w:t>
            </w:r>
            <w:r w:rsidR="00015A2D">
              <w:rPr>
                <w:rFonts w:ascii="Times New Roman" w:hAnsi="Times New Roman"/>
                <w:color w:val="000000"/>
              </w:rPr>
              <w:t>Przyjęte w ustawie o działalności pożytku publicznego i o wolontariacie rozwiązanie jest dysfunkcjonalne z czterech powodów:</w:t>
            </w:r>
          </w:p>
          <w:p w:rsidR="00015A2D" w:rsidRDefault="00015A2D" w:rsidP="00015A2D">
            <w:pPr>
              <w:numPr>
                <w:ilvl w:val="0"/>
                <w:numId w:val="28"/>
              </w:numPr>
              <w:spacing w:line="240" w:lineRule="auto"/>
              <w:jc w:val="both"/>
              <w:rPr>
                <w:rFonts w:ascii="Times New Roman" w:hAnsi="Times New Roman"/>
                <w:color w:val="000000"/>
              </w:rPr>
            </w:pPr>
            <w:r>
              <w:rPr>
                <w:rFonts w:ascii="Times New Roman" w:hAnsi="Times New Roman"/>
                <w:color w:val="000000"/>
              </w:rPr>
              <w:t>z</w:t>
            </w:r>
            <w:r w:rsidR="005E5D16">
              <w:rPr>
                <w:rFonts w:ascii="Times New Roman" w:hAnsi="Times New Roman"/>
                <w:color w:val="000000"/>
              </w:rPr>
              <w:t xml:space="preserve">adania związane z obszarem pożytku publicznego i wolontariatu stanowią margines aktywności </w:t>
            </w:r>
            <w:r>
              <w:rPr>
                <w:rFonts w:ascii="Times New Roman" w:hAnsi="Times New Roman"/>
                <w:color w:val="000000"/>
              </w:rPr>
              <w:t xml:space="preserve">ministra </w:t>
            </w:r>
            <w:r w:rsidRPr="005654B4">
              <w:rPr>
                <w:rFonts w:ascii="Times New Roman" w:hAnsi="Times New Roman"/>
                <w:color w:val="000000"/>
              </w:rPr>
              <w:t>ds. zabezpieczenia</w:t>
            </w:r>
            <w:r>
              <w:rPr>
                <w:rFonts w:ascii="Times New Roman" w:hAnsi="Times New Roman"/>
                <w:color w:val="000000"/>
              </w:rPr>
              <w:t xml:space="preserve"> społecznego, który ponadto koordynuje politykę państwa w trzech strategicznie ważnych działach administracji rządowej: rodzina, praca i zabezpieczenie społeczne, realizuje szereg znacząco większych programów rządowych;</w:t>
            </w:r>
          </w:p>
          <w:p w:rsidR="00015A2D" w:rsidRDefault="00015A2D" w:rsidP="00015A2D">
            <w:pPr>
              <w:numPr>
                <w:ilvl w:val="0"/>
                <w:numId w:val="28"/>
              </w:numPr>
              <w:spacing w:line="240" w:lineRule="auto"/>
              <w:jc w:val="both"/>
              <w:rPr>
                <w:rFonts w:ascii="Times New Roman" w:hAnsi="Times New Roman"/>
                <w:color w:val="000000"/>
              </w:rPr>
            </w:pPr>
            <w:r>
              <w:rPr>
                <w:rFonts w:ascii="Times New Roman" w:hAnsi="Times New Roman"/>
                <w:color w:val="000000"/>
              </w:rPr>
              <w:t>uwarunkowany historycznie model instytucjonalny</w:t>
            </w:r>
            <w:r w:rsidR="005E5D16">
              <w:rPr>
                <w:rFonts w:ascii="Times New Roman" w:hAnsi="Times New Roman"/>
                <w:color w:val="000000"/>
              </w:rPr>
              <w:t xml:space="preserve"> </w:t>
            </w:r>
            <w:r w:rsidR="007558CC" w:rsidRPr="005654B4">
              <w:rPr>
                <w:rFonts w:ascii="Times New Roman" w:hAnsi="Times New Roman"/>
                <w:color w:val="000000"/>
              </w:rPr>
              <w:t xml:space="preserve">sprawia, że sektor </w:t>
            </w:r>
            <w:r>
              <w:rPr>
                <w:rFonts w:ascii="Times New Roman" w:hAnsi="Times New Roman"/>
                <w:color w:val="000000"/>
              </w:rPr>
              <w:t>jest</w:t>
            </w:r>
            <w:r w:rsidR="007558CC" w:rsidRPr="005654B4">
              <w:rPr>
                <w:rFonts w:ascii="Times New Roman" w:hAnsi="Times New Roman"/>
                <w:color w:val="000000"/>
              </w:rPr>
              <w:t xml:space="preserve"> postrzegany głównie przez pryzmat pomocy socjalne</w:t>
            </w:r>
            <w:r>
              <w:rPr>
                <w:rFonts w:ascii="Times New Roman" w:hAnsi="Times New Roman"/>
                <w:color w:val="000000"/>
              </w:rPr>
              <w:t>j i świadczących ją organizacji;</w:t>
            </w:r>
            <w:r w:rsidR="007558CC" w:rsidRPr="005654B4">
              <w:rPr>
                <w:rFonts w:ascii="Times New Roman" w:hAnsi="Times New Roman"/>
                <w:color w:val="000000"/>
              </w:rPr>
              <w:t xml:space="preserve"> </w:t>
            </w:r>
          </w:p>
          <w:p w:rsidR="00015A2D" w:rsidRDefault="00015A2D" w:rsidP="00015A2D">
            <w:pPr>
              <w:numPr>
                <w:ilvl w:val="0"/>
                <w:numId w:val="28"/>
              </w:numPr>
              <w:spacing w:line="240" w:lineRule="auto"/>
              <w:jc w:val="both"/>
              <w:rPr>
                <w:rFonts w:ascii="Times New Roman" w:hAnsi="Times New Roman"/>
                <w:color w:val="000000"/>
              </w:rPr>
            </w:pPr>
            <w:r>
              <w:rPr>
                <w:rFonts w:ascii="Times New Roman" w:hAnsi="Times New Roman"/>
                <w:color w:val="000000"/>
              </w:rPr>
              <w:t>realizowany przez resort horyzontalny program skierowany do</w:t>
            </w:r>
            <w:r w:rsidR="0060153F">
              <w:rPr>
                <w:rFonts w:ascii="Times New Roman" w:hAnsi="Times New Roman"/>
                <w:color w:val="000000"/>
              </w:rPr>
              <w:t xml:space="preserve"> całego sektora pozarządowego (</w:t>
            </w:r>
            <w:r w:rsidR="0060153F" w:rsidRPr="005654B4">
              <w:rPr>
                <w:rFonts w:ascii="Times New Roman" w:hAnsi="Times New Roman"/>
              </w:rPr>
              <w:t>Fundusz Inicjatyw Obywatelskich</w:t>
            </w:r>
            <w:r w:rsidR="0060153F">
              <w:rPr>
                <w:rFonts w:ascii="Times New Roman" w:hAnsi="Times New Roman"/>
                <w:color w:val="000000"/>
              </w:rPr>
              <w:t>) w stopniu nieproporcjonalnym koncentrował się na zadaniach realizowanych w innych obszarach właściwości resortu;</w:t>
            </w:r>
          </w:p>
          <w:p w:rsidR="00015A2D" w:rsidRDefault="00015A2D" w:rsidP="00015A2D">
            <w:pPr>
              <w:numPr>
                <w:ilvl w:val="0"/>
                <w:numId w:val="28"/>
              </w:numPr>
              <w:spacing w:line="240" w:lineRule="auto"/>
              <w:jc w:val="both"/>
              <w:rPr>
                <w:rFonts w:ascii="Times New Roman" w:hAnsi="Times New Roman"/>
                <w:color w:val="000000"/>
              </w:rPr>
            </w:pPr>
            <w:r>
              <w:rPr>
                <w:rFonts w:ascii="Times New Roman" w:hAnsi="Times New Roman"/>
                <w:color w:val="000000"/>
              </w:rPr>
              <w:t xml:space="preserve">dotychczasowe rozwiązanie w zakresie koordynacji polityki państwa skierowanej do sektora pozarządowego koncentruje się na działalności pożytku publicznego i realizacji przez organizacje pozarządowe zadań publicznych nie uwzględniając szerszego kontekstu rozwoju społeczeństwa obywatelskiego. </w:t>
            </w:r>
          </w:p>
          <w:p w:rsidR="005E5D16" w:rsidRDefault="007558CC" w:rsidP="006E2658">
            <w:pPr>
              <w:spacing w:line="240" w:lineRule="auto"/>
              <w:jc w:val="both"/>
              <w:rPr>
                <w:rFonts w:ascii="Times New Roman" w:hAnsi="Times New Roman"/>
                <w:color w:val="000000"/>
              </w:rPr>
            </w:pPr>
            <w:r w:rsidRPr="005654B4">
              <w:rPr>
                <w:rFonts w:ascii="Times New Roman" w:hAnsi="Times New Roman"/>
                <w:color w:val="000000"/>
              </w:rPr>
              <w:lastRenderedPageBreak/>
              <w:t xml:space="preserve">Tymczasem w zasięgu </w:t>
            </w:r>
            <w:r w:rsidR="003325F9" w:rsidRPr="005654B4">
              <w:rPr>
                <w:rFonts w:ascii="Times New Roman" w:hAnsi="Times New Roman"/>
                <w:color w:val="000000"/>
              </w:rPr>
              <w:t xml:space="preserve">zainteresowania </w:t>
            </w:r>
            <w:r w:rsidRPr="005654B4">
              <w:rPr>
                <w:rFonts w:ascii="Times New Roman" w:hAnsi="Times New Roman"/>
                <w:color w:val="000000"/>
              </w:rPr>
              <w:t xml:space="preserve">organu odpowiadającego za </w:t>
            </w:r>
            <w:r w:rsidR="005E5D16">
              <w:rPr>
                <w:rFonts w:ascii="Times New Roman" w:hAnsi="Times New Roman"/>
                <w:color w:val="000000"/>
              </w:rPr>
              <w:t>wspieranie rozwoju</w:t>
            </w:r>
            <w:r w:rsidRPr="005654B4">
              <w:rPr>
                <w:rFonts w:ascii="Times New Roman" w:hAnsi="Times New Roman"/>
                <w:color w:val="000000"/>
              </w:rPr>
              <w:t xml:space="preserve"> sektora </w:t>
            </w:r>
            <w:r w:rsidR="005E5D16">
              <w:rPr>
                <w:rFonts w:ascii="Times New Roman" w:hAnsi="Times New Roman"/>
                <w:color w:val="000000"/>
              </w:rPr>
              <w:t xml:space="preserve">obywatelskiego </w:t>
            </w:r>
            <w:r w:rsidRPr="005654B4">
              <w:rPr>
                <w:rFonts w:ascii="Times New Roman" w:hAnsi="Times New Roman"/>
                <w:color w:val="000000"/>
              </w:rPr>
              <w:t xml:space="preserve">powinna znajdować się wielowymiarowa całość strategicznych wyzwań, obejmujących m.in. takie kwestie jak </w:t>
            </w:r>
            <w:r w:rsidR="00B5541E" w:rsidRPr="005654B4">
              <w:rPr>
                <w:rFonts w:ascii="Times New Roman" w:hAnsi="Times New Roman"/>
                <w:color w:val="000000"/>
              </w:rPr>
              <w:t xml:space="preserve">partycypacja publiczna, </w:t>
            </w:r>
            <w:r w:rsidR="00F74C20" w:rsidRPr="005654B4">
              <w:rPr>
                <w:rFonts w:ascii="Times New Roman" w:hAnsi="Times New Roman"/>
                <w:color w:val="000000"/>
              </w:rPr>
              <w:t xml:space="preserve">działalność strażnicza i rzecznicza, </w:t>
            </w:r>
            <w:r w:rsidRPr="005654B4">
              <w:rPr>
                <w:rFonts w:ascii="Times New Roman" w:hAnsi="Times New Roman"/>
                <w:color w:val="000000"/>
              </w:rPr>
              <w:t xml:space="preserve">edukacja </w:t>
            </w:r>
            <w:r w:rsidR="00F74C20" w:rsidRPr="005654B4">
              <w:rPr>
                <w:rFonts w:ascii="Times New Roman" w:hAnsi="Times New Roman"/>
                <w:color w:val="000000"/>
              </w:rPr>
              <w:t>obywatelska i historyczna</w:t>
            </w:r>
            <w:r w:rsidRPr="005654B4">
              <w:rPr>
                <w:rFonts w:ascii="Times New Roman" w:hAnsi="Times New Roman"/>
                <w:color w:val="000000"/>
              </w:rPr>
              <w:t>, wolontariat</w:t>
            </w:r>
            <w:r w:rsidR="005E5D16">
              <w:rPr>
                <w:rFonts w:ascii="Times New Roman" w:hAnsi="Times New Roman"/>
                <w:color w:val="000000"/>
              </w:rPr>
              <w:t>, ze szczególnym uwzględnieniem najtrudniejszych form wolontariatu nieakcyjnego i długoterminowego</w:t>
            </w:r>
            <w:r w:rsidRPr="005654B4">
              <w:rPr>
                <w:rFonts w:ascii="Times New Roman" w:hAnsi="Times New Roman"/>
                <w:color w:val="000000"/>
              </w:rPr>
              <w:t xml:space="preserve">, dyplomacja </w:t>
            </w:r>
            <w:r w:rsidR="00F74C20" w:rsidRPr="005654B4">
              <w:rPr>
                <w:rFonts w:ascii="Times New Roman" w:hAnsi="Times New Roman"/>
                <w:color w:val="000000"/>
              </w:rPr>
              <w:t>obywatelska</w:t>
            </w:r>
            <w:r w:rsidRPr="005654B4">
              <w:rPr>
                <w:rFonts w:ascii="Times New Roman" w:hAnsi="Times New Roman"/>
                <w:color w:val="000000"/>
              </w:rPr>
              <w:t xml:space="preserve">, rozwój mediów obywatelskich itd. </w:t>
            </w:r>
          </w:p>
          <w:p w:rsidR="005E5D16" w:rsidRDefault="005E5D16" w:rsidP="006E2658">
            <w:pPr>
              <w:spacing w:line="240" w:lineRule="auto"/>
              <w:jc w:val="both"/>
              <w:rPr>
                <w:rFonts w:ascii="Times New Roman" w:hAnsi="Times New Roman"/>
                <w:color w:val="000000"/>
              </w:rPr>
            </w:pPr>
          </w:p>
          <w:p w:rsidR="00106FEE" w:rsidRDefault="006E2658" w:rsidP="006E2658">
            <w:pPr>
              <w:spacing w:line="240" w:lineRule="auto"/>
              <w:jc w:val="both"/>
              <w:rPr>
                <w:rFonts w:ascii="Times New Roman" w:hAnsi="Times New Roman"/>
                <w:color w:val="000000"/>
              </w:rPr>
            </w:pPr>
            <w:r w:rsidRPr="005654B4">
              <w:rPr>
                <w:rFonts w:ascii="Times New Roman" w:hAnsi="Times New Roman"/>
                <w:color w:val="000000"/>
              </w:rPr>
              <w:t xml:space="preserve">Pierwszym krokiem w kierunku </w:t>
            </w:r>
            <w:r w:rsidR="0060153F">
              <w:rPr>
                <w:rFonts w:ascii="Times New Roman" w:hAnsi="Times New Roman"/>
                <w:color w:val="000000"/>
              </w:rPr>
              <w:t xml:space="preserve">zmniejszenia dysfunkcji koordynacji polityki państwa w zakresie wspierania rozwoju społeczeństwa obywatelskiego </w:t>
            </w:r>
            <w:r w:rsidRPr="005654B4">
              <w:rPr>
                <w:rFonts w:ascii="Times New Roman" w:hAnsi="Times New Roman"/>
                <w:color w:val="000000"/>
              </w:rPr>
              <w:t xml:space="preserve">było powołanie </w:t>
            </w:r>
            <w:r w:rsidR="0060153F">
              <w:rPr>
                <w:rFonts w:ascii="Times New Roman" w:hAnsi="Times New Roman"/>
                <w:color w:val="000000"/>
              </w:rPr>
              <w:t xml:space="preserve">w styczniu 2016 r. </w:t>
            </w:r>
            <w:r w:rsidRPr="005654B4">
              <w:rPr>
                <w:rFonts w:ascii="Times New Roman" w:hAnsi="Times New Roman"/>
                <w:color w:val="000000"/>
              </w:rPr>
              <w:t xml:space="preserve">Pełnomocnika rządu ds. społeczeństwa obywatelskiego, </w:t>
            </w:r>
            <w:r w:rsidR="006472FE" w:rsidRPr="005654B4">
              <w:rPr>
                <w:rFonts w:ascii="Times New Roman" w:hAnsi="Times New Roman"/>
                <w:color w:val="000000"/>
              </w:rPr>
              <w:t>do którego zadań należy m.in.</w:t>
            </w:r>
            <w:r w:rsidRPr="005654B4">
              <w:rPr>
                <w:rFonts w:ascii="Times New Roman" w:hAnsi="Times New Roman"/>
                <w:color w:val="000000"/>
              </w:rPr>
              <w:t xml:space="preserve"> przygotowanie projektu niniejszej ustawy</w:t>
            </w:r>
            <w:r w:rsidR="0060153F">
              <w:rPr>
                <w:rFonts w:ascii="Times New Roman" w:hAnsi="Times New Roman"/>
                <w:color w:val="000000"/>
              </w:rPr>
              <w:t>, a także koordynowanie prac nad przygotowaniem Narodowego Programu Wspierania Rozwoju Społeczeństwa Obywatelskiego - kompleksowego programu rządowego obejmującego m.in.: zmniejszanie barier instytucjonalnych i prawnych rozwoju sektora, rozwój instytucji dialogu obywatelskiego, reformę systemu horyzontalnego finansowania sektora, rozwój wolontariatu i edukacji obywatelskiej</w:t>
            </w:r>
            <w:r w:rsidRPr="005654B4">
              <w:rPr>
                <w:rFonts w:ascii="Times New Roman" w:hAnsi="Times New Roman"/>
                <w:color w:val="000000"/>
              </w:rPr>
              <w:t xml:space="preserve">. </w:t>
            </w:r>
          </w:p>
          <w:p w:rsidR="00106FEE" w:rsidRDefault="00106FEE" w:rsidP="006E2658">
            <w:pPr>
              <w:spacing w:line="240" w:lineRule="auto"/>
              <w:jc w:val="both"/>
              <w:rPr>
                <w:rFonts w:ascii="Times New Roman" w:hAnsi="Times New Roman"/>
                <w:color w:val="000000"/>
              </w:rPr>
            </w:pPr>
          </w:p>
          <w:p w:rsidR="00C7550B" w:rsidRDefault="007558CC" w:rsidP="006E2658">
            <w:pPr>
              <w:spacing w:line="240" w:lineRule="auto"/>
              <w:jc w:val="both"/>
              <w:rPr>
                <w:rFonts w:ascii="Times New Roman" w:hAnsi="Times New Roman"/>
                <w:color w:val="000000"/>
              </w:rPr>
            </w:pPr>
            <w:r w:rsidRPr="005654B4">
              <w:rPr>
                <w:rFonts w:ascii="Times New Roman" w:hAnsi="Times New Roman"/>
                <w:color w:val="000000"/>
              </w:rPr>
              <w:t xml:space="preserve">Projektowana </w:t>
            </w:r>
            <w:r w:rsidR="005654B4" w:rsidRPr="005654B4">
              <w:rPr>
                <w:rFonts w:ascii="Times New Roman" w:hAnsi="Times New Roman"/>
              </w:rPr>
              <w:t xml:space="preserve">ustawa przewiduje przekazanie przez ministra ds. zabezpieczenia społecznego kompetencji regulacyjnych dotyczących pożytku publicznego i wolontariatu i nadzoru nad organizacjami pożytku publicznego w ręce premiera oraz realizacji rządowych programów grantowych i operacyjnych, takich jak Fundusz Inicjatyw Obywatelskich do Narodowego Centrum. </w:t>
            </w:r>
            <w:r w:rsidR="005654B4" w:rsidRPr="005654B4">
              <w:rPr>
                <w:rFonts w:ascii="Times New Roman" w:hAnsi="Times New Roman"/>
                <w:color w:val="000000"/>
              </w:rPr>
              <w:t>N</w:t>
            </w:r>
            <w:r w:rsidR="00C7550B" w:rsidRPr="005654B4">
              <w:rPr>
                <w:rFonts w:ascii="Times New Roman" w:hAnsi="Times New Roman"/>
                <w:color w:val="000000"/>
              </w:rPr>
              <w:t xml:space="preserve">owa instytucja przejmie zadania </w:t>
            </w:r>
            <w:r w:rsidR="00F079E2" w:rsidRPr="005654B4">
              <w:rPr>
                <w:rFonts w:ascii="Times New Roman" w:hAnsi="Times New Roman"/>
                <w:color w:val="000000"/>
              </w:rPr>
              <w:t>D</w:t>
            </w:r>
            <w:r w:rsidR="00951C75">
              <w:rPr>
                <w:rFonts w:ascii="Times New Roman" w:hAnsi="Times New Roman"/>
                <w:color w:val="000000"/>
              </w:rPr>
              <w:t>ESi</w:t>
            </w:r>
            <w:r w:rsidR="00F079E2" w:rsidRPr="005654B4">
              <w:rPr>
                <w:rFonts w:ascii="Times New Roman" w:hAnsi="Times New Roman"/>
                <w:color w:val="000000"/>
              </w:rPr>
              <w:t>PP</w:t>
            </w:r>
            <w:r w:rsidR="00C7550B" w:rsidRPr="005654B4">
              <w:rPr>
                <w:rFonts w:ascii="Times New Roman" w:hAnsi="Times New Roman"/>
                <w:color w:val="000000"/>
              </w:rPr>
              <w:t>, roz</w:t>
            </w:r>
            <w:r w:rsidR="003325F9" w:rsidRPr="005654B4">
              <w:rPr>
                <w:rFonts w:ascii="Times New Roman" w:hAnsi="Times New Roman"/>
                <w:color w:val="000000"/>
              </w:rPr>
              <w:t xml:space="preserve">szerzając je o nowe priorytety. </w:t>
            </w:r>
            <w:r w:rsidR="000651DC" w:rsidRPr="005654B4">
              <w:rPr>
                <w:rFonts w:ascii="Times New Roman" w:hAnsi="Times New Roman"/>
                <w:color w:val="000000"/>
              </w:rPr>
              <w:t xml:space="preserve">Rozwiązanie to pozwoli uzyskać perspektywę horyzontalną w zakresie koordynacji i monitoringu polityk wsparcia państwa dla sektora </w:t>
            </w:r>
            <w:r w:rsidR="005654B4" w:rsidRPr="005654B4">
              <w:rPr>
                <w:rFonts w:ascii="Times New Roman" w:hAnsi="Times New Roman"/>
                <w:color w:val="000000"/>
              </w:rPr>
              <w:t>obywatelskiego</w:t>
            </w:r>
            <w:r w:rsidR="000651DC" w:rsidRPr="005654B4">
              <w:rPr>
                <w:rFonts w:ascii="Times New Roman" w:hAnsi="Times New Roman"/>
                <w:color w:val="000000"/>
              </w:rPr>
              <w:t>, niemożliwą z poziomu D</w:t>
            </w:r>
            <w:r w:rsidR="00951C75">
              <w:rPr>
                <w:rFonts w:ascii="Times New Roman" w:hAnsi="Times New Roman"/>
                <w:color w:val="000000"/>
              </w:rPr>
              <w:t>ESi</w:t>
            </w:r>
            <w:r w:rsidR="000651DC" w:rsidRPr="005654B4">
              <w:rPr>
                <w:rFonts w:ascii="Times New Roman" w:hAnsi="Times New Roman"/>
                <w:color w:val="000000"/>
              </w:rPr>
              <w:t>PP w Ministerstwie Rodziny, Pracy i Polityki Społecznej.</w:t>
            </w:r>
            <w:r w:rsidR="0057759A" w:rsidRPr="005654B4">
              <w:rPr>
                <w:rFonts w:ascii="Times New Roman" w:hAnsi="Times New Roman"/>
                <w:color w:val="000000"/>
              </w:rPr>
              <w:t xml:space="preserve"> </w:t>
            </w:r>
          </w:p>
          <w:p w:rsidR="00F12885" w:rsidRDefault="00F12885" w:rsidP="006E2658">
            <w:pPr>
              <w:spacing w:line="240" w:lineRule="auto"/>
              <w:jc w:val="both"/>
              <w:rPr>
                <w:rFonts w:ascii="Times New Roman" w:hAnsi="Times New Roman"/>
                <w:color w:val="000000"/>
              </w:rPr>
            </w:pPr>
          </w:p>
          <w:p w:rsidR="00ED0FE1" w:rsidRDefault="00F12885" w:rsidP="00ED0FE1">
            <w:pPr>
              <w:spacing w:line="240" w:lineRule="auto"/>
              <w:jc w:val="both"/>
              <w:rPr>
                <w:rFonts w:ascii="Times New Roman" w:hAnsi="Times New Roman"/>
                <w:bCs/>
                <w:spacing w:val="-2"/>
              </w:rPr>
            </w:pPr>
            <w:r w:rsidRPr="00F12885">
              <w:rPr>
                <w:rFonts w:ascii="Times New Roman" w:hAnsi="Times New Roman"/>
              </w:rPr>
              <w:t xml:space="preserve">NCRSO będzie wdrażało przygotowany przez Pełnomocnika program dzięki dwóm głównym źródłom finansowania – wspomnianemu już Funduszowi Inicjatyw Obywatelskich oraz powołanemu dzięki nowelizacji ustawy hazardowej w 2017 r. Funduszowi Wspierania Rozwoju Społeczeństwa Obywatelskiego.  Pomysłodawcy NCRSO korzystają z doświadczeń innych krajów, których rządy zdecydowały się doinwestować i zracjonalizować państwowe wsparcie dla inicjatyw zwiększających udział obywateli w sferze publicznej - w wielu krajach europejskich zadanie te realizują wyspecjalizowane agencje wykonawcze </w:t>
            </w:r>
            <w:r w:rsidRPr="00F12885">
              <w:rPr>
                <w:rFonts w:ascii="Times New Roman" w:hAnsi="Times New Roman"/>
                <w:bCs/>
                <w:spacing w:val="-2"/>
              </w:rPr>
              <w:t xml:space="preserve">lub państwowe fundacje </w:t>
            </w:r>
            <w:r w:rsidRPr="00F12885">
              <w:rPr>
                <w:rFonts w:ascii="Times New Roman" w:hAnsi="Times New Roman"/>
              </w:rPr>
              <w:t xml:space="preserve">(jak np. Szwedzka Agencja ds. Młodzieży i Społeczeństwa Obywatelskiego, </w:t>
            </w:r>
            <w:r w:rsidRPr="00F12885">
              <w:rPr>
                <w:rFonts w:ascii="Times New Roman" w:hAnsi="Times New Roman"/>
                <w:bCs/>
                <w:spacing w:val="-2"/>
              </w:rPr>
              <w:t>Federalna Agencja ds. Edukacji Obywatelskiej w Niemczech, Narodowa Fundacja Społeczeństwa Obywatelskiego w Estonii, Narodowa Fundacja Rozwoju Społeczeństwa Obywatelskiego w Chorwacji).</w:t>
            </w:r>
          </w:p>
          <w:p w:rsidR="003C19FE" w:rsidRDefault="003C19FE" w:rsidP="00ED0FE1">
            <w:pPr>
              <w:spacing w:line="240" w:lineRule="auto"/>
              <w:jc w:val="both"/>
              <w:rPr>
                <w:rFonts w:ascii="Times New Roman" w:hAnsi="Times New Roman"/>
                <w:bCs/>
                <w:spacing w:val="-2"/>
              </w:rPr>
            </w:pPr>
          </w:p>
          <w:p w:rsidR="003C19FE" w:rsidRPr="00F12885" w:rsidRDefault="003C19FE" w:rsidP="00ED0FE1">
            <w:pPr>
              <w:spacing w:line="240" w:lineRule="auto"/>
              <w:jc w:val="both"/>
              <w:rPr>
                <w:rFonts w:ascii="Times New Roman" w:hAnsi="Times New Roman"/>
                <w:color w:val="000000"/>
                <w:spacing w:val="-2"/>
              </w:rPr>
            </w:pPr>
            <w:r>
              <w:rPr>
                <w:rFonts w:ascii="Times New Roman" w:hAnsi="Times New Roman"/>
                <w:bCs/>
                <w:spacing w:val="-2"/>
              </w:rPr>
              <w:t xml:space="preserve">Projekt regulacji jest zgodny </w:t>
            </w:r>
            <w:r w:rsidR="00BC7BA8">
              <w:rPr>
                <w:rFonts w:ascii="Times New Roman" w:hAnsi="Times New Roman"/>
                <w:bCs/>
                <w:spacing w:val="-2"/>
              </w:rPr>
              <w:t xml:space="preserve">z dokumentem Strategia na Rzecz Odpowiedzialnego Rozwoju do roku 2020 (z perspektywą do 2030 r.), która stanowi załącznik do uchwały Rady Ministrów z dnia 14 lutego 2017 r. </w:t>
            </w:r>
          </w:p>
          <w:p w:rsidR="001B6560" w:rsidRPr="00843F77" w:rsidRDefault="001B6560" w:rsidP="00ED0FE1">
            <w:pPr>
              <w:spacing w:line="240" w:lineRule="auto"/>
              <w:jc w:val="both"/>
              <w:rPr>
                <w:rFonts w:ascii="Times New Roman" w:hAnsi="Times New Roman"/>
              </w:rPr>
            </w:pPr>
          </w:p>
        </w:tc>
      </w:tr>
      <w:tr w:rsidR="006A701A" w:rsidRPr="00843F77" w:rsidTr="00676C8D">
        <w:trPr>
          <w:gridAfter w:val="1"/>
          <w:wAfter w:w="10" w:type="dxa"/>
          <w:trHeight w:val="142"/>
        </w:trPr>
        <w:tc>
          <w:tcPr>
            <w:tcW w:w="10937" w:type="dxa"/>
            <w:gridSpan w:val="26"/>
            <w:shd w:val="clear" w:color="auto" w:fill="99CCFF"/>
            <w:vAlign w:val="center"/>
          </w:tcPr>
          <w:p w:rsidR="006A701A" w:rsidRPr="00843F77" w:rsidRDefault="0013216E" w:rsidP="00C53F26">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spacing w:val="-2"/>
              </w:rPr>
              <w:lastRenderedPageBreak/>
              <w:t>Rekomendowane rozwiązanie, w tym planowane narzędzia interwencji, i oczekiwany efekt</w:t>
            </w:r>
          </w:p>
        </w:tc>
      </w:tr>
      <w:tr w:rsidR="006A701A" w:rsidRPr="00843F77" w:rsidTr="00676C8D">
        <w:trPr>
          <w:gridAfter w:val="1"/>
          <w:wAfter w:w="10" w:type="dxa"/>
          <w:trHeight w:val="142"/>
        </w:trPr>
        <w:tc>
          <w:tcPr>
            <w:tcW w:w="10937" w:type="dxa"/>
            <w:gridSpan w:val="26"/>
            <w:shd w:val="clear" w:color="auto" w:fill="auto"/>
          </w:tcPr>
          <w:p w:rsidR="00ED0FE1" w:rsidRPr="00843F77" w:rsidRDefault="00ED0FE1" w:rsidP="00C0081F">
            <w:pPr>
              <w:spacing w:line="240" w:lineRule="auto"/>
              <w:jc w:val="both"/>
              <w:rPr>
                <w:rFonts w:ascii="Times New Roman" w:hAnsi="Times New Roman"/>
                <w:color w:val="000000"/>
                <w:spacing w:val="-2"/>
              </w:rPr>
            </w:pPr>
          </w:p>
          <w:p w:rsidR="00C0081F" w:rsidRDefault="00B07D12" w:rsidP="00C0081F">
            <w:pPr>
              <w:spacing w:line="240" w:lineRule="auto"/>
              <w:jc w:val="both"/>
              <w:rPr>
                <w:rFonts w:ascii="Times New Roman" w:hAnsi="Times New Roman"/>
                <w:color w:val="000000"/>
                <w:spacing w:val="-2"/>
              </w:rPr>
            </w:pPr>
            <w:r w:rsidRPr="00843F77">
              <w:rPr>
                <w:rFonts w:ascii="Times New Roman" w:hAnsi="Times New Roman"/>
                <w:color w:val="000000"/>
                <w:spacing w:val="-2"/>
              </w:rPr>
              <w:t xml:space="preserve">Rekomendowanym rozwiązaniem jest powołanie agencji wykonawczej o nazwie </w:t>
            </w:r>
            <w:r w:rsidRPr="00843F77">
              <w:rPr>
                <w:rFonts w:ascii="Times New Roman" w:hAnsi="Times New Roman"/>
                <w:color w:val="000000"/>
              </w:rPr>
              <w:t>Narodowe Centrum Rozwoju Społeczeństwa Obywatelskiego</w:t>
            </w:r>
            <w:r w:rsidR="00C0081F" w:rsidRPr="00843F77">
              <w:rPr>
                <w:rFonts w:ascii="Times New Roman" w:hAnsi="Times New Roman"/>
                <w:color w:val="000000"/>
                <w:spacing w:val="-2"/>
              </w:rPr>
              <w:t xml:space="preserve">, której zadania i organizację określa projekt ustawy. Narodowe Centrum ma być nowym właściwym organem w sprawach wspierania rozwoju społeczeństwa obywatelskiego oraz pożytku publicznego </w:t>
            </w:r>
            <w:r w:rsidR="00F079E2" w:rsidRPr="00843F77">
              <w:rPr>
                <w:rFonts w:ascii="Times New Roman" w:hAnsi="Times New Roman"/>
                <w:color w:val="000000"/>
                <w:spacing w:val="-2"/>
              </w:rPr>
              <w:br/>
            </w:r>
            <w:r w:rsidR="00DE4A19">
              <w:rPr>
                <w:rFonts w:ascii="Times New Roman" w:hAnsi="Times New Roman"/>
                <w:color w:val="000000"/>
                <w:spacing w:val="-2"/>
              </w:rPr>
              <w:t>i wolontariatu</w:t>
            </w:r>
            <w:r w:rsidR="00C0081F" w:rsidRPr="00843F77">
              <w:rPr>
                <w:rFonts w:ascii="Times New Roman" w:hAnsi="Times New Roman"/>
                <w:color w:val="000000"/>
                <w:spacing w:val="-2"/>
              </w:rPr>
              <w:t xml:space="preserve"> i tym samym zastąpić dotychczasowe działania w tym zakresie ministra do spraw zabezpieczenia społecznego, które dotyczyły jedynie części zadań związanych z rozwojem społeczeństwa obywatelskiego w Rzeczypospolitej Polskiej</w:t>
            </w:r>
            <w:r w:rsidR="00DE4A19">
              <w:rPr>
                <w:rFonts w:ascii="Times New Roman" w:hAnsi="Times New Roman"/>
                <w:color w:val="000000"/>
                <w:spacing w:val="-2"/>
              </w:rPr>
              <w:t>.</w:t>
            </w:r>
          </w:p>
          <w:p w:rsidR="00DE4A19" w:rsidRPr="00843F77" w:rsidRDefault="00DE4A19" w:rsidP="00C0081F">
            <w:pPr>
              <w:spacing w:line="240" w:lineRule="auto"/>
              <w:jc w:val="both"/>
              <w:rPr>
                <w:rFonts w:ascii="Times New Roman" w:hAnsi="Times New Roman"/>
                <w:color w:val="000000"/>
                <w:spacing w:val="-2"/>
              </w:rPr>
            </w:pPr>
          </w:p>
          <w:p w:rsidR="00B07D12" w:rsidRPr="00843F77" w:rsidRDefault="00B07D12" w:rsidP="00B37C80">
            <w:pPr>
              <w:spacing w:line="240" w:lineRule="auto"/>
              <w:jc w:val="both"/>
              <w:rPr>
                <w:rFonts w:ascii="Times New Roman" w:hAnsi="Times New Roman"/>
                <w:color w:val="000000"/>
                <w:spacing w:val="-2"/>
              </w:rPr>
            </w:pPr>
            <w:r w:rsidRPr="00843F77">
              <w:rPr>
                <w:rFonts w:ascii="Times New Roman" w:hAnsi="Times New Roman"/>
                <w:color w:val="000000"/>
                <w:spacing w:val="-2"/>
              </w:rPr>
              <w:t xml:space="preserve">Spowoduje to następujące </w:t>
            </w:r>
            <w:r w:rsidR="00C0081F" w:rsidRPr="00843F77">
              <w:rPr>
                <w:rFonts w:ascii="Times New Roman" w:hAnsi="Times New Roman"/>
                <w:color w:val="000000"/>
                <w:spacing w:val="-2"/>
              </w:rPr>
              <w:t>efekty</w:t>
            </w:r>
            <w:r w:rsidRPr="00843F77">
              <w:rPr>
                <w:rFonts w:ascii="Times New Roman" w:hAnsi="Times New Roman"/>
                <w:color w:val="000000"/>
                <w:spacing w:val="-2"/>
              </w:rPr>
              <w:t>:</w:t>
            </w:r>
          </w:p>
          <w:p w:rsidR="006E2658" w:rsidRDefault="00BE59D0" w:rsidP="00BE59D0">
            <w:pPr>
              <w:numPr>
                <w:ilvl w:val="0"/>
                <w:numId w:val="26"/>
              </w:numPr>
              <w:spacing w:line="240" w:lineRule="auto"/>
              <w:jc w:val="both"/>
              <w:rPr>
                <w:rFonts w:ascii="Times New Roman" w:hAnsi="Times New Roman"/>
                <w:color w:val="000000"/>
              </w:rPr>
            </w:pPr>
            <w:r w:rsidRPr="00843F77">
              <w:rPr>
                <w:rFonts w:ascii="Times New Roman" w:hAnsi="Times New Roman"/>
                <w:color w:val="000000"/>
              </w:rPr>
              <w:t xml:space="preserve">Horyzontalna koordynacja </w:t>
            </w:r>
            <w:r w:rsidR="00B07D12" w:rsidRPr="00843F77">
              <w:rPr>
                <w:rFonts w:ascii="Times New Roman" w:hAnsi="Times New Roman"/>
                <w:color w:val="000000"/>
              </w:rPr>
              <w:t>polityk wspierania rozwoju III sektora i instytucji społeczeństwa obywatelskiego</w:t>
            </w:r>
            <w:r w:rsidR="00C0081F" w:rsidRPr="00843F77">
              <w:rPr>
                <w:rFonts w:ascii="Times New Roman" w:hAnsi="Times New Roman"/>
                <w:color w:val="000000"/>
              </w:rPr>
              <w:t xml:space="preserve"> przez państwo</w:t>
            </w:r>
            <w:r w:rsidR="006E2658">
              <w:rPr>
                <w:rFonts w:ascii="Times New Roman" w:hAnsi="Times New Roman"/>
                <w:color w:val="000000"/>
              </w:rPr>
              <w:t>,</w:t>
            </w:r>
          </w:p>
          <w:p w:rsidR="00B07D12" w:rsidRPr="00843F77" w:rsidRDefault="00C0081F" w:rsidP="00BE59D0">
            <w:pPr>
              <w:numPr>
                <w:ilvl w:val="0"/>
                <w:numId w:val="26"/>
              </w:numPr>
              <w:spacing w:line="240" w:lineRule="auto"/>
              <w:jc w:val="both"/>
              <w:rPr>
                <w:rFonts w:ascii="Times New Roman" w:hAnsi="Times New Roman"/>
                <w:color w:val="000000"/>
              </w:rPr>
            </w:pPr>
            <w:r w:rsidRPr="00843F77">
              <w:rPr>
                <w:rFonts w:ascii="Times New Roman" w:hAnsi="Times New Roman"/>
                <w:color w:val="000000"/>
              </w:rPr>
              <w:t>Wzrost</w:t>
            </w:r>
            <w:r w:rsidR="00B07D12" w:rsidRPr="00843F77">
              <w:rPr>
                <w:rFonts w:ascii="Times New Roman" w:hAnsi="Times New Roman"/>
                <w:color w:val="000000"/>
              </w:rPr>
              <w:t xml:space="preserve"> </w:t>
            </w:r>
            <w:r w:rsidRPr="00843F77">
              <w:rPr>
                <w:rFonts w:ascii="Times New Roman" w:hAnsi="Times New Roman"/>
                <w:color w:val="000000"/>
              </w:rPr>
              <w:t>znaczenia tematyki rozwoju III sektora i instytucji</w:t>
            </w:r>
            <w:r w:rsidR="00B07D12" w:rsidRPr="00843F77">
              <w:rPr>
                <w:rFonts w:ascii="Times New Roman" w:hAnsi="Times New Roman"/>
                <w:color w:val="000000"/>
              </w:rPr>
              <w:t xml:space="preserve"> społeczeństwa obywatelskiego</w:t>
            </w:r>
            <w:r w:rsidR="00F079E2" w:rsidRPr="00843F77">
              <w:rPr>
                <w:rFonts w:ascii="Times New Roman" w:hAnsi="Times New Roman"/>
                <w:color w:val="000000"/>
              </w:rPr>
              <w:t>,</w:t>
            </w:r>
          </w:p>
          <w:p w:rsidR="00B07D12" w:rsidRPr="00843F77" w:rsidRDefault="00C0081F"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P</w:t>
            </w:r>
            <w:r w:rsidR="00B07D12" w:rsidRPr="00843F77">
              <w:rPr>
                <w:rFonts w:ascii="Times New Roman" w:hAnsi="Times New Roman"/>
                <w:color w:val="000000"/>
              </w:rPr>
              <w:t>opraw</w:t>
            </w:r>
            <w:r w:rsidRPr="00843F77">
              <w:rPr>
                <w:rFonts w:ascii="Times New Roman" w:hAnsi="Times New Roman"/>
                <w:color w:val="000000"/>
              </w:rPr>
              <w:t>a</w:t>
            </w:r>
            <w:r w:rsidR="00B07D12" w:rsidRPr="00843F77">
              <w:rPr>
                <w:rFonts w:ascii="Times New Roman" w:hAnsi="Times New Roman"/>
                <w:color w:val="000000"/>
              </w:rPr>
              <w:t xml:space="preserve"> komunikacj</w:t>
            </w:r>
            <w:r w:rsidRPr="00843F77">
              <w:rPr>
                <w:rFonts w:ascii="Times New Roman" w:hAnsi="Times New Roman"/>
                <w:color w:val="000000"/>
              </w:rPr>
              <w:t>i</w:t>
            </w:r>
            <w:r w:rsidR="00B07D12" w:rsidRPr="00843F77">
              <w:rPr>
                <w:rFonts w:ascii="Times New Roman" w:hAnsi="Times New Roman"/>
                <w:color w:val="000000"/>
              </w:rPr>
              <w:t xml:space="preserve"> poszczególnych aktorów akty</w:t>
            </w:r>
            <w:r w:rsidRPr="00843F77">
              <w:rPr>
                <w:rFonts w:ascii="Times New Roman" w:hAnsi="Times New Roman"/>
                <w:color w:val="000000"/>
              </w:rPr>
              <w:t>wnych na</w:t>
            </w:r>
            <w:r w:rsidR="00B07D12" w:rsidRPr="00843F77">
              <w:rPr>
                <w:rFonts w:ascii="Times New Roman" w:hAnsi="Times New Roman"/>
                <w:color w:val="000000"/>
              </w:rPr>
              <w:t xml:space="preserve"> polu </w:t>
            </w:r>
            <w:r w:rsidRPr="00843F77">
              <w:rPr>
                <w:rFonts w:ascii="Times New Roman" w:hAnsi="Times New Roman"/>
                <w:color w:val="000000"/>
              </w:rPr>
              <w:t xml:space="preserve">wspierania rozwoju III sektora i instytucji społeczeństwa obywatelskiego </w:t>
            </w:r>
            <w:r w:rsidR="00B07D12" w:rsidRPr="00843F77">
              <w:rPr>
                <w:rFonts w:ascii="Times New Roman" w:hAnsi="Times New Roman"/>
                <w:color w:val="000000"/>
              </w:rPr>
              <w:t>(ministerstwa, organy samorządu, organizacje pozarządowe)</w:t>
            </w:r>
            <w:r w:rsidR="00F079E2" w:rsidRPr="00843F77">
              <w:rPr>
                <w:rFonts w:ascii="Times New Roman" w:hAnsi="Times New Roman"/>
                <w:color w:val="000000"/>
              </w:rPr>
              <w:t>,</w:t>
            </w:r>
          </w:p>
          <w:p w:rsidR="00B07D12" w:rsidRPr="00843F77" w:rsidRDefault="00C0081F"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Stworzenie</w:t>
            </w:r>
            <w:r w:rsidR="00B07D12" w:rsidRPr="00843F77">
              <w:rPr>
                <w:rFonts w:ascii="Times New Roman" w:hAnsi="Times New Roman"/>
                <w:color w:val="000000"/>
              </w:rPr>
              <w:t xml:space="preserve"> międzyresortow</w:t>
            </w:r>
            <w:r w:rsidRPr="00843F77">
              <w:rPr>
                <w:rFonts w:ascii="Times New Roman" w:hAnsi="Times New Roman"/>
                <w:color w:val="000000"/>
              </w:rPr>
              <w:t>ej</w:t>
            </w:r>
            <w:r w:rsidR="00B07D12" w:rsidRPr="00843F77">
              <w:rPr>
                <w:rFonts w:ascii="Times New Roman" w:hAnsi="Times New Roman"/>
                <w:color w:val="000000"/>
              </w:rPr>
              <w:t xml:space="preserve"> pamię</w:t>
            </w:r>
            <w:r w:rsidRPr="00843F77">
              <w:rPr>
                <w:rFonts w:ascii="Times New Roman" w:hAnsi="Times New Roman"/>
                <w:color w:val="000000"/>
              </w:rPr>
              <w:t xml:space="preserve">ci </w:t>
            </w:r>
            <w:r w:rsidR="00B07D12" w:rsidRPr="00843F77">
              <w:rPr>
                <w:rFonts w:ascii="Times New Roman" w:hAnsi="Times New Roman"/>
                <w:color w:val="000000"/>
              </w:rPr>
              <w:t>instytucjonaln</w:t>
            </w:r>
            <w:r w:rsidRPr="00843F77">
              <w:rPr>
                <w:rFonts w:ascii="Times New Roman" w:hAnsi="Times New Roman"/>
                <w:color w:val="000000"/>
              </w:rPr>
              <w:t>ej</w:t>
            </w:r>
            <w:r w:rsidR="00B07D12" w:rsidRPr="00843F77">
              <w:rPr>
                <w:rFonts w:ascii="Times New Roman" w:hAnsi="Times New Roman"/>
                <w:color w:val="000000"/>
              </w:rPr>
              <w:t>, kumulując</w:t>
            </w:r>
            <w:r w:rsidRPr="00843F77">
              <w:rPr>
                <w:rFonts w:ascii="Times New Roman" w:hAnsi="Times New Roman"/>
                <w:color w:val="000000"/>
              </w:rPr>
              <w:t>ej</w:t>
            </w:r>
            <w:r w:rsidR="00B07D12" w:rsidRPr="00843F77">
              <w:rPr>
                <w:rFonts w:ascii="Times New Roman" w:hAnsi="Times New Roman"/>
                <w:color w:val="000000"/>
              </w:rPr>
              <w:t xml:space="preserve"> doświadczenia i dane znajdujące się obecnie w rozproszeniu i stanowiące wyłączne zasoby poszczególnych ministerstw</w:t>
            </w:r>
            <w:r w:rsidR="00F079E2" w:rsidRPr="00843F77">
              <w:rPr>
                <w:rFonts w:ascii="Times New Roman" w:hAnsi="Times New Roman"/>
                <w:color w:val="000000"/>
              </w:rPr>
              <w:t>,</w:t>
            </w:r>
          </w:p>
          <w:p w:rsidR="00C0081F" w:rsidRPr="00843F77" w:rsidRDefault="00C0081F"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Uzyskanie zasobów materialnych i eksperckich umożliwiających realizację nowych instrumentów wsparcia dla III sektora: Funduszu Grantów Instytucjonalnych i Funduszu Inicjatyw Edukacyjnych</w:t>
            </w:r>
            <w:r w:rsidR="00F079E2" w:rsidRPr="00843F77">
              <w:rPr>
                <w:rFonts w:ascii="Times New Roman" w:hAnsi="Times New Roman"/>
                <w:color w:val="000000"/>
              </w:rPr>
              <w:t>,</w:t>
            </w:r>
          </w:p>
          <w:p w:rsidR="00964D73" w:rsidRPr="00843F77" w:rsidRDefault="00964D73"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Skupienie w jednej instytucji horyzontalnych instrumentów wsparcia III sektora: Funduszu Inicjatyw Obywatelskich, Funduszu Grantów Instytucjonalnych i Funduszu Inicjatyw Edukacyjnych</w:t>
            </w:r>
            <w:r w:rsidR="00F079E2" w:rsidRPr="00843F77">
              <w:rPr>
                <w:rFonts w:ascii="Times New Roman" w:hAnsi="Times New Roman"/>
                <w:color w:val="000000"/>
              </w:rPr>
              <w:t>,</w:t>
            </w:r>
          </w:p>
          <w:p w:rsidR="00C0081F" w:rsidRPr="00843F77" w:rsidRDefault="00C0081F"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Uzyskanie zasobów materialnych i eksperckich umożliwiających wdrażanie Narodowego Programu Wspierania Rozwoju Społeczeństwa Obywatelskiego</w:t>
            </w:r>
            <w:r w:rsidR="00F079E2" w:rsidRPr="00843F77">
              <w:rPr>
                <w:rFonts w:ascii="Times New Roman" w:hAnsi="Times New Roman"/>
                <w:color w:val="000000"/>
              </w:rPr>
              <w:t>.</w:t>
            </w:r>
          </w:p>
          <w:p w:rsidR="00B07D12" w:rsidRPr="00843F77" w:rsidRDefault="00B07D12" w:rsidP="00B37C80">
            <w:pPr>
              <w:spacing w:line="240" w:lineRule="auto"/>
              <w:jc w:val="both"/>
              <w:rPr>
                <w:rFonts w:ascii="Times New Roman" w:hAnsi="Times New Roman"/>
                <w:color w:val="000000"/>
                <w:spacing w:val="-2"/>
              </w:rPr>
            </w:pPr>
          </w:p>
          <w:p w:rsidR="006A701A" w:rsidRPr="00843F77" w:rsidRDefault="006A701A" w:rsidP="00B37C80">
            <w:pPr>
              <w:spacing w:line="240" w:lineRule="auto"/>
              <w:jc w:val="both"/>
              <w:rPr>
                <w:rFonts w:ascii="Times New Roman" w:hAnsi="Times New Roman"/>
                <w:color w:val="000000"/>
                <w:spacing w:val="-2"/>
              </w:rPr>
            </w:pPr>
          </w:p>
        </w:tc>
      </w:tr>
      <w:tr w:rsidR="006A701A" w:rsidRPr="00843F77" w:rsidTr="00676C8D">
        <w:trPr>
          <w:gridAfter w:val="1"/>
          <w:wAfter w:w="10" w:type="dxa"/>
          <w:trHeight w:val="307"/>
        </w:trPr>
        <w:tc>
          <w:tcPr>
            <w:tcW w:w="10937" w:type="dxa"/>
            <w:gridSpan w:val="26"/>
            <w:shd w:val="clear" w:color="auto" w:fill="99CCFF"/>
            <w:vAlign w:val="center"/>
          </w:tcPr>
          <w:p w:rsidR="006A701A" w:rsidRPr="00843F77" w:rsidRDefault="009E3C4B" w:rsidP="007D2192">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spacing w:val="-2"/>
              </w:rPr>
              <w:t>Jak problem został rozwiązany w innych krajach, w szczególności krajach członkowskich OECD/UE</w:t>
            </w:r>
            <w:r w:rsidR="006A701A" w:rsidRPr="00843F77">
              <w:rPr>
                <w:rFonts w:ascii="Times New Roman" w:hAnsi="Times New Roman"/>
                <w:b/>
                <w:color w:val="000000"/>
              </w:rPr>
              <w:t>?</w:t>
            </w:r>
            <w:r w:rsidR="006A701A" w:rsidRPr="00843F77">
              <w:rPr>
                <w:rFonts w:ascii="Times New Roman" w:hAnsi="Times New Roman"/>
                <w:i/>
                <w:color w:val="000000"/>
              </w:rPr>
              <w:t xml:space="preserve"> </w:t>
            </w:r>
          </w:p>
        </w:tc>
      </w:tr>
      <w:tr w:rsidR="006A701A" w:rsidRPr="00843F77" w:rsidTr="00676C8D">
        <w:trPr>
          <w:gridAfter w:val="1"/>
          <w:wAfter w:w="10" w:type="dxa"/>
          <w:trHeight w:val="142"/>
        </w:trPr>
        <w:tc>
          <w:tcPr>
            <w:tcW w:w="10937" w:type="dxa"/>
            <w:gridSpan w:val="26"/>
            <w:shd w:val="clear" w:color="auto" w:fill="auto"/>
          </w:tcPr>
          <w:p w:rsidR="006A701A" w:rsidRPr="00843F77" w:rsidRDefault="006A701A" w:rsidP="00B37C80">
            <w:pPr>
              <w:spacing w:line="240" w:lineRule="auto"/>
              <w:jc w:val="both"/>
              <w:rPr>
                <w:rFonts w:ascii="Times New Roman" w:hAnsi="Times New Roman"/>
                <w:bCs/>
                <w:color w:val="000000"/>
                <w:spacing w:val="-2"/>
              </w:rPr>
            </w:pPr>
          </w:p>
          <w:p w:rsidR="00CF586F" w:rsidRPr="00843F77" w:rsidRDefault="00CF586F" w:rsidP="00CF586F">
            <w:pPr>
              <w:spacing w:line="240" w:lineRule="auto"/>
              <w:jc w:val="both"/>
              <w:rPr>
                <w:rFonts w:ascii="Times New Roman" w:hAnsi="Times New Roman"/>
                <w:bCs/>
                <w:color w:val="000000"/>
                <w:spacing w:val="-2"/>
              </w:rPr>
            </w:pPr>
            <w:r w:rsidRPr="00843F77">
              <w:rPr>
                <w:rFonts w:ascii="Times New Roman" w:hAnsi="Times New Roman"/>
                <w:bCs/>
                <w:color w:val="000000"/>
                <w:spacing w:val="-2"/>
              </w:rPr>
              <w:lastRenderedPageBreak/>
              <w:t xml:space="preserve">Porównanie modeli zastosowanych w państwach europejskich (zawierające przykłady z Europy Środkowo-Wschodniej, Zachodniej i Skandynawii) pokazuje, że </w:t>
            </w:r>
            <w:r w:rsidR="00E30E6B" w:rsidRPr="00843F77">
              <w:rPr>
                <w:rFonts w:ascii="Times New Roman" w:hAnsi="Times New Roman"/>
                <w:bCs/>
                <w:color w:val="000000"/>
                <w:spacing w:val="-2"/>
              </w:rPr>
              <w:t xml:space="preserve">zastosowane </w:t>
            </w:r>
            <w:r w:rsidRPr="00843F77">
              <w:rPr>
                <w:rFonts w:ascii="Times New Roman" w:hAnsi="Times New Roman"/>
                <w:bCs/>
                <w:color w:val="000000"/>
                <w:spacing w:val="-2"/>
              </w:rPr>
              <w:t xml:space="preserve">w polskim </w:t>
            </w:r>
            <w:r w:rsidR="00E30E6B" w:rsidRPr="00843F77">
              <w:rPr>
                <w:rFonts w:ascii="Times New Roman" w:hAnsi="Times New Roman"/>
                <w:bCs/>
                <w:color w:val="000000"/>
                <w:spacing w:val="-2"/>
              </w:rPr>
              <w:t>systemie umocowanie</w:t>
            </w:r>
            <w:r w:rsidRPr="00843F77">
              <w:rPr>
                <w:rFonts w:ascii="Times New Roman" w:hAnsi="Times New Roman"/>
                <w:bCs/>
                <w:color w:val="000000"/>
                <w:spacing w:val="-2"/>
              </w:rPr>
              <w:t xml:space="preserve"> zagadnie</w:t>
            </w:r>
            <w:r w:rsidR="00E30E6B" w:rsidRPr="00843F77">
              <w:rPr>
                <w:rFonts w:ascii="Times New Roman" w:hAnsi="Times New Roman"/>
                <w:bCs/>
                <w:color w:val="000000"/>
                <w:spacing w:val="-2"/>
              </w:rPr>
              <w:t>ń</w:t>
            </w:r>
            <w:r w:rsidRPr="00843F77">
              <w:rPr>
                <w:rFonts w:ascii="Times New Roman" w:hAnsi="Times New Roman"/>
                <w:bCs/>
                <w:color w:val="000000"/>
                <w:spacing w:val="-2"/>
              </w:rPr>
              <w:t xml:space="preserve"> związanych ze społeczeństwem obywatelskim </w:t>
            </w:r>
            <w:r w:rsidR="00E30E6B" w:rsidRPr="00843F77">
              <w:rPr>
                <w:rFonts w:ascii="Times New Roman" w:hAnsi="Times New Roman"/>
                <w:bCs/>
                <w:color w:val="000000"/>
                <w:spacing w:val="-2"/>
              </w:rPr>
              <w:t>i sektorem pozarządowym na poziomie Ministerstwa Rodziny, Pracy i Polityki Społecznej</w:t>
            </w:r>
            <w:r w:rsidRPr="00843F77">
              <w:rPr>
                <w:rFonts w:ascii="Times New Roman" w:hAnsi="Times New Roman"/>
                <w:bCs/>
                <w:color w:val="000000"/>
                <w:spacing w:val="-2"/>
              </w:rPr>
              <w:t xml:space="preserve"> </w:t>
            </w:r>
            <w:r w:rsidR="00E30E6B" w:rsidRPr="00843F77">
              <w:rPr>
                <w:rFonts w:ascii="Times New Roman" w:hAnsi="Times New Roman"/>
                <w:bCs/>
                <w:color w:val="000000"/>
                <w:spacing w:val="-2"/>
              </w:rPr>
              <w:t xml:space="preserve">nadaje temu obszarowi </w:t>
            </w:r>
            <w:r w:rsidRPr="00843F77">
              <w:rPr>
                <w:rFonts w:ascii="Times New Roman" w:hAnsi="Times New Roman"/>
                <w:bCs/>
                <w:color w:val="000000"/>
                <w:spacing w:val="-2"/>
              </w:rPr>
              <w:t>– przynajmniej formalnie – niższ</w:t>
            </w:r>
            <w:r w:rsidR="00E30E6B" w:rsidRPr="00843F77">
              <w:rPr>
                <w:rFonts w:ascii="Times New Roman" w:hAnsi="Times New Roman"/>
                <w:bCs/>
                <w:color w:val="000000"/>
                <w:spacing w:val="-2"/>
              </w:rPr>
              <w:t>ą rangę</w:t>
            </w:r>
            <w:r w:rsidRPr="00843F77">
              <w:rPr>
                <w:rFonts w:ascii="Times New Roman" w:hAnsi="Times New Roman"/>
                <w:bCs/>
                <w:color w:val="000000"/>
                <w:spacing w:val="-2"/>
              </w:rPr>
              <w:t xml:space="preserve">, niż w porównywanych krajach. Jest to o tyle zaskakujące, że Polska jest krajem, który poprzez koncepcje wysuwane w latach 70-tych i torujące drogę powstaniu Solidarności miał duży wkład w ożywienie i przywrócenie idei społeczeństwa obywatelskiego dla światowej myśli politycznej i filozoficznej. </w:t>
            </w:r>
          </w:p>
          <w:p w:rsidR="00E30E6B" w:rsidRPr="00843F77" w:rsidRDefault="00E30E6B" w:rsidP="00F86450">
            <w:pPr>
              <w:spacing w:line="240" w:lineRule="auto"/>
              <w:jc w:val="both"/>
              <w:rPr>
                <w:rFonts w:ascii="Times New Roman" w:hAnsi="Times New Roman"/>
                <w:bCs/>
                <w:color w:val="000000"/>
                <w:spacing w:val="-2"/>
              </w:rPr>
            </w:pPr>
          </w:p>
          <w:p w:rsidR="00F86450" w:rsidRPr="00843F77" w:rsidRDefault="008C3B76" w:rsidP="00F86450">
            <w:pPr>
              <w:spacing w:line="240" w:lineRule="auto"/>
              <w:jc w:val="both"/>
              <w:rPr>
                <w:rFonts w:ascii="Times New Roman" w:hAnsi="Times New Roman"/>
                <w:bCs/>
                <w:color w:val="000000"/>
                <w:spacing w:val="-2"/>
              </w:rPr>
            </w:pPr>
            <w:r w:rsidRPr="00843F77">
              <w:rPr>
                <w:rFonts w:ascii="Times New Roman" w:hAnsi="Times New Roman"/>
                <w:bCs/>
                <w:color w:val="000000"/>
                <w:spacing w:val="-2"/>
              </w:rPr>
              <w:t xml:space="preserve">W wielu państwach UE współpraca z organizacjami społeczeństwa obywatelskiego jest realizowana za pośrednictwem instytucji podległych bezpośrednio Rządowi lub znajdujących się w jego strukturze. </w:t>
            </w:r>
            <w:r w:rsidR="00F86450" w:rsidRPr="00843F77">
              <w:rPr>
                <w:rFonts w:ascii="Times New Roman" w:hAnsi="Times New Roman"/>
                <w:bCs/>
                <w:color w:val="000000"/>
                <w:spacing w:val="-2"/>
              </w:rPr>
              <w:t xml:space="preserve">W Wielkiej Brytanii istnieje stanowisko Ministra ds. Społeczeństwa Obywatelskiego (Minister for the Civil Society) w randze </w:t>
            </w:r>
            <w:r w:rsidR="002D6E1D" w:rsidRPr="00843F77">
              <w:rPr>
                <w:rFonts w:ascii="Times New Roman" w:hAnsi="Times New Roman"/>
                <w:bCs/>
                <w:color w:val="000000"/>
                <w:spacing w:val="-2"/>
              </w:rPr>
              <w:t>pod</w:t>
            </w:r>
            <w:r w:rsidR="00F86450" w:rsidRPr="00843F77">
              <w:rPr>
                <w:rFonts w:ascii="Times New Roman" w:hAnsi="Times New Roman"/>
                <w:bCs/>
                <w:color w:val="000000"/>
                <w:spacing w:val="-2"/>
              </w:rPr>
              <w:t xml:space="preserve">sekretarza parlamentarnego (Parliamentary </w:t>
            </w:r>
            <w:r w:rsidR="002D6E1D" w:rsidRPr="00843F77">
              <w:rPr>
                <w:rFonts w:ascii="Times New Roman" w:hAnsi="Times New Roman"/>
                <w:bCs/>
                <w:color w:val="000000"/>
                <w:spacing w:val="-2"/>
              </w:rPr>
              <w:t xml:space="preserve">Under </w:t>
            </w:r>
            <w:r w:rsidR="00F86450" w:rsidRPr="00843F77">
              <w:rPr>
                <w:rFonts w:ascii="Times New Roman" w:hAnsi="Times New Roman"/>
                <w:bCs/>
                <w:color w:val="000000"/>
                <w:spacing w:val="-2"/>
              </w:rPr>
              <w:t>Secretary</w:t>
            </w:r>
            <w:r w:rsidR="002D6E1D" w:rsidRPr="00843F77">
              <w:rPr>
                <w:rFonts w:ascii="Times New Roman" w:hAnsi="Times New Roman"/>
                <w:bCs/>
                <w:color w:val="000000"/>
                <w:spacing w:val="-2"/>
              </w:rPr>
              <w:t xml:space="preserve"> of State</w:t>
            </w:r>
            <w:r w:rsidR="00F86450" w:rsidRPr="00843F77">
              <w:rPr>
                <w:rFonts w:ascii="Times New Roman" w:hAnsi="Times New Roman"/>
                <w:bCs/>
                <w:color w:val="000000"/>
                <w:spacing w:val="-2"/>
              </w:rPr>
              <w:t xml:space="preserve">), umocowanego </w:t>
            </w:r>
            <w:r w:rsidR="00554921" w:rsidRPr="00843F77">
              <w:rPr>
                <w:rFonts w:ascii="Times New Roman" w:hAnsi="Times New Roman"/>
                <w:bCs/>
                <w:color w:val="000000"/>
                <w:spacing w:val="-2"/>
              </w:rPr>
              <w:t>w</w:t>
            </w:r>
            <w:r w:rsidR="00F86450" w:rsidRPr="00843F77">
              <w:rPr>
                <w:rFonts w:ascii="Times New Roman" w:hAnsi="Times New Roman"/>
                <w:bCs/>
                <w:color w:val="000000"/>
                <w:spacing w:val="-2"/>
              </w:rPr>
              <w:t xml:space="preserve"> </w:t>
            </w:r>
            <w:r w:rsidR="002D6E1D" w:rsidRPr="00843F77">
              <w:rPr>
                <w:rFonts w:ascii="Times New Roman" w:hAnsi="Times New Roman"/>
                <w:bCs/>
                <w:color w:val="000000"/>
                <w:spacing w:val="-2"/>
              </w:rPr>
              <w:t>Departamen</w:t>
            </w:r>
            <w:r w:rsidR="00554921" w:rsidRPr="00843F77">
              <w:rPr>
                <w:rFonts w:ascii="Times New Roman" w:hAnsi="Times New Roman"/>
                <w:bCs/>
                <w:color w:val="000000"/>
                <w:spacing w:val="-2"/>
              </w:rPr>
              <w:t>cie</w:t>
            </w:r>
            <w:r w:rsidR="002D6E1D" w:rsidRPr="00843F77">
              <w:rPr>
                <w:rFonts w:ascii="Times New Roman" w:hAnsi="Times New Roman"/>
                <w:bCs/>
                <w:color w:val="000000"/>
                <w:spacing w:val="-2"/>
              </w:rPr>
              <w:t xml:space="preserve"> Kultury, Mediów </w:t>
            </w:r>
            <w:r w:rsidR="001B6560" w:rsidRPr="00843F77">
              <w:rPr>
                <w:rFonts w:ascii="Times New Roman" w:hAnsi="Times New Roman"/>
                <w:bCs/>
                <w:color w:val="000000"/>
                <w:spacing w:val="-2"/>
              </w:rPr>
              <w:br/>
            </w:r>
            <w:r w:rsidR="002D6E1D" w:rsidRPr="00843F77">
              <w:rPr>
                <w:rFonts w:ascii="Times New Roman" w:hAnsi="Times New Roman"/>
                <w:bCs/>
                <w:color w:val="000000"/>
                <w:spacing w:val="-2"/>
              </w:rPr>
              <w:t xml:space="preserve">i Sportu </w:t>
            </w:r>
            <w:r w:rsidR="00F86450" w:rsidRPr="00843F77">
              <w:rPr>
                <w:rFonts w:ascii="Times New Roman" w:hAnsi="Times New Roman"/>
                <w:bCs/>
                <w:color w:val="000000"/>
                <w:spacing w:val="-2"/>
              </w:rPr>
              <w:t>(</w:t>
            </w:r>
            <w:r w:rsidR="002D6E1D" w:rsidRPr="00843F77">
              <w:rPr>
                <w:rFonts w:ascii="Times New Roman" w:hAnsi="Times New Roman"/>
                <w:bCs/>
                <w:color w:val="000000"/>
                <w:spacing w:val="-2"/>
              </w:rPr>
              <w:t>Departament of Culture, Media and Sport</w:t>
            </w:r>
            <w:r w:rsidR="00F86450" w:rsidRPr="00843F77">
              <w:rPr>
                <w:rFonts w:ascii="Times New Roman" w:hAnsi="Times New Roman"/>
                <w:bCs/>
                <w:color w:val="000000"/>
                <w:spacing w:val="-2"/>
              </w:rPr>
              <w:t xml:space="preserve">). W sprawowaniu obowiązków pomaga mu Biuro ds. Społeczeństwa Obywatelskiego (Civil Society Office), do 2010 r. nazywające się Urzędem ds. Trzeciego Sektora. Do głównych obszarów odpowiedzialności Ministra należy m.in. polityka młodzieżowa (w tym National Citizen Service - zorganizowana przez państwo ogólnokrajowa służba wolontariatu, przeznaczona dla nastolatków w wieku 14-17 lat), wsparcie organizacji trzeciego sektora i przedsiębiorczość społeczna. </w:t>
            </w:r>
            <w:r w:rsidRPr="00843F77">
              <w:rPr>
                <w:rFonts w:ascii="Times New Roman" w:hAnsi="Times New Roman"/>
                <w:bCs/>
                <w:color w:val="000000"/>
                <w:spacing w:val="-2"/>
              </w:rPr>
              <w:t xml:space="preserve">Zadaniem chorwackiego Urzędu ds. Stowarzyszeń (Ured za Udruge) jest koordynacja pracy ministerstw oraz organów administracji centralnego i lokalnego szczebla w zakresie monitoringu </w:t>
            </w:r>
            <w:r w:rsidR="001B6560" w:rsidRPr="00843F77">
              <w:rPr>
                <w:rFonts w:ascii="Times New Roman" w:hAnsi="Times New Roman"/>
                <w:bCs/>
                <w:color w:val="000000"/>
                <w:spacing w:val="-2"/>
              </w:rPr>
              <w:br/>
            </w:r>
            <w:r w:rsidRPr="00843F77">
              <w:rPr>
                <w:rFonts w:ascii="Times New Roman" w:hAnsi="Times New Roman"/>
                <w:bCs/>
                <w:color w:val="000000"/>
                <w:spacing w:val="-2"/>
              </w:rPr>
              <w:t xml:space="preserve">i polepszania współpracy z sektorem pozarządowym. Dyrektor urzędu jest powoływany na wniosek premiera Chorwacji. </w:t>
            </w:r>
            <w:r w:rsidR="001B6560" w:rsidRPr="00843F77">
              <w:rPr>
                <w:rFonts w:ascii="Times New Roman" w:hAnsi="Times New Roman"/>
                <w:bCs/>
                <w:color w:val="000000"/>
                <w:spacing w:val="-2"/>
              </w:rPr>
              <w:br/>
            </w:r>
            <w:r w:rsidR="00F86450" w:rsidRPr="00843F77">
              <w:rPr>
                <w:rFonts w:ascii="Times New Roman" w:hAnsi="Times New Roman"/>
                <w:bCs/>
                <w:color w:val="000000"/>
                <w:spacing w:val="-2"/>
              </w:rPr>
              <w:t xml:space="preserve">W Czechach działa Rządowa Rada ds. Organizacji Pozarządowych, licząca około 30 osób i obradująca </w:t>
            </w:r>
            <w:r w:rsidR="001B6560" w:rsidRPr="00843F77">
              <w:rPr>
                <w:rFonts w:ascii="Times New Roman" w:hAnsi="Times New Roman"/>
                <w:bCs/>
                <w:color w:val="000000"/>
                <w:spacing w:val="-2"/>
              </w:rPr>
              <w:br/>
            </w:r>
            <w:r w:rsidR="00F86450" w:rsidRPr="00843F77">
              <w:rPr>
                <w:rFonts w:ascii="Times New Roman" w:hAnsi="Times New Roman"/>
                <w:bCs/>
                <w:color w:val="000000"/>
                <w:spacing w:val="-2"/>
              </w:rPr>
              <w:t xml:space="preserve">pod przewodnictwem Ministra ds. Praw Człowieka, Równego Traktowania i Legislacji. Rada za pośrednictwem ministra przedkłada rządowi materiały dotyczące sektora pozarządowego i warunków jego działalności, w tym projekty regulacji </w:t>
            </w:r>
            <w:r w:rsidR="001B6560" w:rsidRPr="00843F77">
              <w:rPr>
                <w:rFonts w:ascii="Times New Roman" w:hAnsi="Times New Roman"/>
                <w:bCs/>
                <w:color w:val="000000"/>
                <w:spacing w:val="-2"/>
              </w:rPr>
              <w:br/>
            </w:r>
            <w:r w:rsidR="00F86450" w:rsidRPr="00843F77">
              <w:rPr>
                <w:rFonts w:ascii="Times New Roman" w:hAnsi="Times New Roman"/>
                <w:bCs/>
                <w:color w:val="000000"/>
                <w:spacing w:val="-2"/>
              </w:rPr>
              <w:t xml:space="preserve">i aktów prawnych wpływających na działalność sektora obywatelskiego. Uwagę zwraca pewna analogia do polskiej Rady Działalności Pożytku Publicznego, jednakże czeskie rozwiązanie wydaje się nadawać sektorowi obywatelskiemu wyższą rangę, ponieważ polska Rada Działalności Pożytku Publicznego jest organem opiniodawczo-doradczym ministra właściwego ds. zabezpieczenia społecznego, a czeska - bezpośrednio organem doradczym rządu, nadzorowanym </w:t>
            </w:r>
            <w:r w:rsidR="001B6560" w:rsidRPr="00843F77">
              <w:rPr>
                <w:rFonts w:ascii="Times New Roman" w:hAnsi="Times New Roman"/>
                <w:bCs/>
                <w:color w:val="000000"/>
                <w:spacing w:val="-2"/>
              </w:rPr>
              <w:br/>
            </w:r>
            <w:r w:rsidR="00F86450" w:rsidRPr="00843F77">
              <w:rPr>
                <w:rFonts w:ascii="Times New Roman" w:hAnsi="Times New Roman"/>
                <w:bCs/>
                <w:color w:val="000000"/>
                <w:spacing w:val="-2"/>
              </w:rPr>
              <w:t>przez ministra bez teki.</w:t>
            </w:r>
          </w:p>
          <w:p w:rsidR="00F86450" w:rsidRPr="00843F77" w:rsidRDefault="00F86450" w:rsidP="00F86450">
            <w:pPr>
              <w:spacing w:line="240" w:lineRule="auto"/>
              <w:jc w:val="both"/>
              <w:rPr>
                <w:rFonts w:ascii="Times New Roman" w:hAnsi="Times New Roman"/>
                <w:bCs/>
                <w:color w:val="000000"/>
                <w:spacing w:val="-2"/>
              </w:rPr>
            </w:pPr>
          </w:p>
          <w:p w:rsidR="00CF586F" w:rsidRPr="00843F77" w:rsidRDefault="00F86450" w:rsidP="00B37C80">
            <w:pPr>
              <w:spacing w:line="240" w:lineRule="auto"/>
              <w:jc w:val="both"/>
              <w:rPr>
                <w:rFonts w:ascii="Times New Roman" w:hAnsi="Times New Roman"/>
                <w:color w:val="000000"/>
                <w:spacing w:val="-2"/>
              </w:rPr>
            </w:pPr>
            <w:r w:rsidRPr="00843F77">
              <w:rPr>
                <w:rFonts w:ascii="Times New Roman" w:hAnsi="Times New Roman"/>
                <w:bCs/>
                <w:color w:val="000000"/>
                <w:spacing w:val="-2"/>
              </w:rPr>
              <w:t xml:space="preserve">W kontekście projektu Narodowego Centrum Rozwoju Społeczeństwa Obywatelskiego istotne są też przykłady agencji </w:t>
            </w:r>
            <w:r w:rsidR="00B90665" w:rsidRPr="00843F77">
              <w:rPr>
                <w:rFonts w:ascii="Times New Roman" w:hAnsi="Times New Roman"/>
                <w:bCs/>
                <w:color w:val="000000"/>
                <w:spacing w:val="-2"/>
              </w:rPr>
              <w:t>rządowych</w:t>
            </w:r>
            <w:r w:rsidRPr="00843F77">
              <w:rPr>
                <w:rFonts w:ascii="Times New Roman" w:hAnsi="Times New Roman"/>
                <w:bCs/>
                <w:color w:val="000000"/>
                <w:spacing w:val="-2"/>
              </w:rPr>
              <w:t xml:space="preserve">, funkcjonujących w wybranych państwach UE. </w:t>
            </w:r>
            <w:r w:rsidR="00B90665" w:rsidRPr="00843F77">
              <w:rPr>
                <w:rFonts w:ascii="Times New Roman" w:hAnsi="Times New Roman"/>
                <w:bCs/>
                <w:color w:val="000000"/>
                <w:spacing w:val="-2"/>
              </w:rPr>
              <w:t xml:space="preserve">W Chorwacji funkcjonuje wspierająca działania trzeciego sektora Narodowa Fundacja Rozwoju Społeczeństwa Obywatelskiego (Nacionalna zaklada za razvoj civilnoga društva), która jest </w:t>
            </w:r>
            <w:r w:rsidR="003235E2" w:rsidRPr="00843F77">
              <w:rPr>
                <w:rFonts w:ascii="Times New Roman" w:hAnsi="Times New Roman"/>
                <w:bCs/>
                <w:color w:val="000000"/>
                <w:spacing w:val="-2"/>
              </w:rPr>
              <w:t xml:space="preserve">finansowana z państwowej loterii. </w:t>
            </w:r>
            <w:r w:rsidRPr="00843F77">
              <w:rPr>
                <w:rFonts w:ascii="Times New Roman" w:hAnsi="Times New Roman"/>
                <w:bCs/>
                <w:color w:val="000000"/>
                <w:spacing w:val="-2"/>
              </w:rPr>
              <w:t xml:space="preserve">W Niemczech </w:t>
            </w:r>
            <w:r w:rsidR="004866B6" w:rsidRPr="00843F77">
              <w:rPr>
                <w:rFonts w:ascii="Times New Roman" w:hAnsi="Times New Roman"/>
                <w:bCs/>
                <w:color w:val="000000"/>
                <w:spacing w:val="-2"/>
              </w:rPr>
              <w:t>pod nadzorem Ministerstwa Spraw Wewnętrznych</w:t>
            </w:r>
            <w:r w:rsidRPr="00843F77">
              <w:rPr>
                <w:rFonts w:ascii="Times New Roman" w:hAnsi="Times New Roman"/>
                <w:bCs/>
                <w:color w:val="000000"/>
                <w:spacing w:val="-2"/>
              </w:rPr>
              <w:t xml:space="preserve"> działa Federalna Agencja ds. Edukacji Obywatelskiej (Bundeszentrale für politische Bildung)</w:t>
            </w:r>
            <w:r w:rsidR="004866B6" w:rsidRPr="00843F77">
              <w:rPr>
                <w:rFonts w:ascii="Times New Roman" w:hAnsi="Times New Roman"/>
                <w:bCs/>
                <w:color w:val="000000"/>
                <w:spacing w:val="-2"/>
              </w:rPr>
              <w:t>, do której zadań</w:t>
            </w:r>
            <w:r w:rsidRPr="00843F77">
              <w:rPr>
                <w:rFonts w:ascii="Times New Roman" w:hAnsi="Times New Roman"/>
                <w:bCs/>
                <w:color w:val="000000"/>
                <w:spacing w:val="-2"/>
              </w:rPr>
              <w:t xml:space="preserve"> należy wsparcie dla przedsięwzięć osób prywatnych, organizacji pozarządowych i fundacji działających w obszarze edukacji obywatelskiej i politycznej. W Szwecji pod egidą Ministerstwa Edukacji funkcjonuje Agencja ds. Młodzieży i Społeczeństwa Obywatelskiego, </w:t>
            </w:r>
            <w:r w:rsidR="003235E2" w:rsidRPr="00843F77">
              <w:rPr>
                <w:rFonts w:ascii="Times New Roman" w:hAnsi="Times New Roman"/>
                <w:bCs/>
                <w:color w:val="000000"/>
                <w:spacing w:val="-2"/>
              </w:rPr>
              <w:t>do której</w:t>
            </w:r>
            <w:r w:rsidRPr="00843F77">
              <w:rPr>
                <w:rFonts w:ascii="Times New Roman" w:hAnsi="Times New Roman"/>
                <w:bCs/>
                <w:color w:val="000000"/>
                <w:spacing w:val="-2"/>
              </w:rPr>
              <w:t xml:space="preserve"> zadań należy realizacja polityki rządu w zakresie polityki młodzieżowej i trzeciego sektora, w tym wolontariatu i poprawy warunków działania organizacji społecznych. Agencja pełni też funkcję dysponenta środków publicznych i przyznaje dotacje podmiotom sektora pozarządowego ze środków otrzymywanych corocznie od rządu. Zadaniem agencji jest także gromadzenie i rozpowszechnianie eksperckiej wiedzy na tema</w:t>
            </w:r>
            <w:r w:rsidR="00B90665" w:rsidRPr="00843F77">
              <w:rPr>
                <w:rFonts w:ascii="Times New Roman" w:hAnsi="Times New Roman"/>
                <w:bCs/>
                <w:color w:val="000000"/>
                <w:spacing w:val="-2"/>
              </w:rPr>
              <w:t xml:space="preserve">t społeczeństwa obywatelskiego. Na Łotwie istnieje </w:t>
            </w:r>
            <w:r w:rsidR="008C3B76" w:rsidRPr="00843F77">
              <w:rPr>
                <w:rFonts w:ascii="Times New Roman" w:hAnsi="Times New Roman"/>
                <w:bCs/>
                <w:color w:val="000000"/>
                <w:spacing w:val="-2"/>
              </w:rPr>
              <w:t>Fundacja Integracji S</w:t>
            </w:r>
            <w:r w:rsidR="00E72E50" w:rsidRPr="00843F77">
              <w:rPr>
                <w:rFonts w:ascii="Times New Roman" w:hAnsi="Times New Roman"/>
                <w:bCs/>
                <w:color w:val="000000"/>
                <w:spacing w:val="-2"/>
              </w:rPr>
              <w:t xml:space="preserve">połecznej (Society Integration Foundation - </w:t>
            </w:r>
            <w:r w:rsidR="008C3B76" w:rsidRPr="00843F77">
              <w:rPr>
                <w:rFonts w:ascii="Times New Roman" w:hAnsi="Times New Roman"/>
                <w:bCs/>
                <w:color w:val="000000"/>
                <w:spacing w:val="-2"/>
              </w:rPr>
              <w:t>SIF)</w:t>
            </w:r>
            <w:r w:rsidR="00E72E50" w:rsidRPr="00843F77">
              <w:rPr>
                <w:rFonts w:ascii="Times New Roman" w:hAnsi="Times New Roman"/>
                <w:bCs/>
                <w:color w:val="000000"/>
                <w:spacing w:val="-2"/>
              </w:rPr>
              <w:t xml:space="preserve">, znajdująca się pod bezpośrednim nadzorem Premiera. Jej zadaniem jest wsparcie organizacji pozarządowych, działających na rzecz integracji społeczeństwa łotewskiego. Fundacja jest też operatorem konkursu dla organizacji pozarządowych, alokującego środki pochodzące z Funduszy Norweskich. </w:t>
            </w:r>
          </w:p>
          <w:p w:rsidR="006A701A" w:rsidRPr="00843F77" w:rsidRDefault="006A701A" w:rsidP="00B37C80">
            <w:pPr>
              <w:spacing w:line="240" w:lineRule="auto"/>
              <w:jc w:val="both"/>
              <w:rPr>
                <w:rFonts w:ascii="Times New Roman" w:hAnsi="Times New Roman"/>
                <w:color w:val="000000"/>
                <w:spacing w:val="-2"/>
              </w:rPr>
            </w:pPr>
          </w:p>
        </w:tc>
      </w:tr>
      <w:tr w:rsidR="006A701A" w:rsidRPr="00843F77" w:rsidTr="00676C8D">
        <w:trPr>
          <w:gridAfter w:val="1"/>
          <w:wAfter w:w="10" w:type="dxa"/>
          <w:trHeight w:val="359"/>
        </w:trPr>
        <w:tc>
          <w:tcPr>
            <w:tcW w:w="10937" w:type="dxa"/>
            <w:gridSpan w:val="26"/>
            <w:shd w:val="clear" w:color="auto" w:fill="99CCFF"/>
            <w:vAlign w:val="center"/>
          </w:tcPr>
          <w:p w:rsidR="006A701A" w:rsidRPr="00843F77" w:rsidRDefault="006A701A" w:rsidP="00213EFD">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lastRenderedPageBreak/>
              <w:t>Podmioty, na które oddziałuje projekt</w:t>
            </w:r>
          </w:p>
        </w:tc>
      </w:tr>
      <w:tr w:rsidR="00260F33" w:rsidRPr="00843F77" w:rsidTr="001112D5">
        <w:trPr>
          <w:gridAfter w:val="1"/>
          <w:wAfter w:w="10" w:type="dxa"/>
          <w:trHeight w:val="142"/>
        </w:trPr>
        <w:tc>
          <w:tcPr>
            <w:tcW w:w="2661" w:type="dxa"/>
            <w:gridSpan w:val="3"/>
            <w:shd w:val="clear" w:color="auto" w:fill="auto"/>
          </w:tcPr>
          <w:p w:rsidR="00260F33" w:rsidRPr="00843F77" w:rsidRDefault="00260F33" w:rsidP="0072636A">
            <w:pPr>
              <w:spacing w:before="40" w:line="240" w:lineRule="auto"/>
              <w:jc w:val="center"/>
              <w:rPr>
                <w:rFonts w:ascii="Times New Roman" w:hAnsi="Times New Roman"/>
                <w:color w:val="000000"/>
                <w:spacing w:val="-2"/>
              </w:rPr>
            </w:pPr>
            <w:r w:rsidRPr="00843F77">
              <w:rPr>
                <w:rFonts w:ascii="Times New Roman" w:hAnsi="Times New Roman"/>
                <w:color w:val="000000"/>
                <w:spacing w:val="-2"/>
              </w:rPr>
              <w:t>Grupa</w:t>
            </w:r>
          </w:p>
        </w:tc>
        <w:tc>
          <w:tcPr>
            <w:tcW w:w="2297" w:type="dxa"/>
            <w:gridSpan w:val="6"/>
            <w:shd w:val="clear" w:color="auto" w:fill="auto"/>
          </w:tcPr>
          <w:p w:rsidR="00260F33" w:rsidRPr="00843F77" w:rsidRDefault="00563199" w:rsidP="0072636A">
            <w:pPr>
              <w:spacing w:before="40" w:line="240" w:lineRule="auto"/>
              <w:jc w:val="center"/>
              <w:rPr>
                <w:rFonts w:ascii="Times New Roman" w:hAnsi="Times New Roman"/>
                <w:spacing w:val="-2"/>
              </w:rPr>
            </w:pPr>
            <w:r w:rsidRPr="00843F77">
              <w:rPr>
                <w:rFonts w:ascii="Times New Roman" w:hAnsi="Times New Roman"/>
                <w:spacing w:val="-2"/>
              </w:rPr>
              <w:t>Wielkość</w:t>
            </w:r>
          </w:p>
        </w:tc>
        <w:tc>
          <w:tcPr>
            <w:tcW w:w="2996" w:type="dxa"/>
            <w:gridSpan w:val="11"/>
            <w:shd w:val="clear" w:color="auto" w:fill="auto"/>
          </w:tcPr>
          <w:p w:rsidR="00260F33" w:rsidRPr="00843F77" w:rsidRDefault="00260F33" w:rsidP="0072636A">
            <w:pPr>
              <w:spacing w:before="40" w:line="240" w:lineRule="auto"/>
              <w:jc w:val="center"/>
              <w:rPr>
                <w:rFonts w:ascii="Times New Roman" w:hAnsi="Times New Roman"/>
                <w:spacing w:val="-2"/>
              </w:rPr>
            </w:pPr>
            <w:r w:rsidRPr="00843F77">
              <w:rPr>
                <w:rFonts w:ascii="Times New Roman" w:hAnsi="Times New Roman"/>
                <w:spacing w:val="-2"/>
              </w:rPr>
              <w:t>Źródło danych</w:t>
            </w:r>
            <w:r w:rsidRPr="00843F77" w:rsidDel="00260F33">
              <w:rPr>
                <w:rFonts w:ascii="Times New Roman" w:hAnsi="Times New Roman"/>
                <w:spacing w:val="-2"/>
              </w:rPr>
              <w:t xml:space="preserve"> </w:t>
            </w:r>
          </w:p>
        </w:tc>
        <w:tc>
          <w:tcPr>
            <w:tcW w:w="2983" w:type="dxa"/>
            <w:gridSpan w:val="6"/>
            <w:shd w:val="clear" w:color="auto" w:fill="auto"/>
          </w:tcPr>
          <w:p w:rsidR="00260F33" w:rsidRPr="00843F77" w:rsidRDefault="00260F33" w:rsidP="0072636A">
            <w:pPr>
              <w:spacing w:before="40" w:line="240" w:lineRule="auto"/>
              <w:jc w:val="center"/>
              <w:rPr>
                <w:rFonts w:ascii="Times New Roman" w:hAnsi="Times New Roman"/>
                <w:spacing w:val="-2"/>
              </w:rPr>
            </w:pPr>
            <w:r w:rsidRPr="00843F77">
              <w:rPr>
                <w:rFonts w:ascii="Times New Roman" w:hAnsi="Times New Roman"/>
                <w:spacing w:val="-2"/>
              </w:rPr>
              <w:t>Oddziaływanie</w:t>
            </w:r>
          </w:p>
        </w:tc>
      </w:tr>
      <w:tr w:rsidR="00260F33" w:rsidRPr="00843F77" w:rsidTr="001112D5">
        <w:trPr>
          <w:gridAfter w:val="1"/>
          <w:wAfter w:w="10" w:type="dxa"/>
          <w:trHeight w:val="142"/>
        </w:trPr>
        <w:tc>
          <w:tcPr>
            <w:tcW w:w="2661" w:type="dxa"/>
            <w:gridSpan w:val="3"/>
            <w:shd w:val="clear" w:color="auto" w:fill="auto"/>
          </w:tcPr>
          <w:p w:rsidR="00260F33" w:rsidRPr="00843F77" w:rsidRDefault="00EE71FB" w:rsidP="00A17CB2">
            <w:pPr>
              <w:spacing w:line="240" w:lineRule="auto"/>
              <w:rPr>
                <w:rFonts w:ascii="Times New Roman" w:hAnsi="Times New Roman"/>
                <w:spacing w:val="-2"/>
              </w:rPr>
            </w:pPr>
            <w:r w:rsidRPr="00843F77">
              <w:rPr>
                <w:rFonts w:ascii="Times New Roman" w:hAnsi="Times New Roman"/>
                <w:spacing w:val="-2"/>
              </w:rPr>
              <w:t>Kancelaria Prezesa Rady Ministrów</w:t>
            </w:r>
          </w:p>
        </w:tc>
        <w:tc>
          <w:tcPr>
            <w:tcW w:w="2297" w:type="dxa"/>
            <w:gridSpan w:val="6"/>
            <w:shd w:val="clear" w:color="auto" w:fill="auto"/>
          </w:tcPr>
          <w:p w:rsidR="00260F33" w:rsidRPr="00843F77" w:rsidRDefault="00260F33" w:rsidP="00BD05E3">
            <w:pPr>
              <w:spacing w:line="240" w:lineRule="auto"/>
              <w:jc w:val="center"/>
              <w:rPr>
                <w:rFonts w:ascii="Times New Roman" w:hAnsi="Times New Roman"/>
                <w:spacing w:val="-2"/>
              </w:rPr>
            </w:pPr>
          </w:p>
        </w:tc>
        <w:tc>
          <w:tcPr>
            <w:tcW w:w="2996" w:type="dxa"/>
            <w:gridSpan w:val="11"/>
            <w:shd w:val="clear" w:color="auto" w:fill="auto"/>
          </w:tcPr>
          <w:p w:rsidR="00260F33" w:rsidRPr="00843F77" w:rsidRDefault="00260F33" w:rsidP="00A17CB2">
            <w:pPr>
              <w:spacing w:line="240" w:lineRule="auto"/>
              <w:rPr>
                <w:rFonts w:ascii="Times New Roman" w:hAnsi="Times New Roman"/>
                <w:spacing w:val="-2"/>
              </w:rPr>
            </w:pPr>
          </w:p>
        </w:tc>
        <w:tc>
          <w:tcPr>
            <w:tcW w:w="2983" w:type="dxa"/>
            <w:gridSpan w:val="6"/>
            <w:shd w:val="clear" w:color="auto" w:fill="auto"/>
          </w:tcPr>
          <w:p w:rsidR="00106FEE" w:rsidRPr="00843F77" w:rsidRDefault="00DB32BE" w:rsidP="00106FEE">
            <w:pPr>
              <w:spacing w:line="240" w:lineRule="auto"/>
              <w:rPr>
                <w:rFonts w:ascii="Times New Roman" w:hAnsi="Times New Roman"/>
                <w:spacing w:val="-2"/>
              </w:rPr>
            </w:pPr>
            <w:r w:rsidRPr="00843F77">
              <w:rPr>
                <w:rFonts w:ascii="Times New Roman" w:hAnsi="Times New Roman"/>
                <w:spacing w:val="-2"/>
              </w:rPr>
              <w:t>Realizacja zadań zleconych przez Prezesa Rady Ministrów, który zgodnie z projektem ustawy</w:t>
            </w:r>
            <w:r w:rsidR="00106FEE">
              <w:rPr>
                <w:rFonts w:ascii="Times New Roman" w:hAnsi="Times New Roman"/>
                <w:spacing w:val="-2"/>
              </w:rPr>
              <w:t xml:space="preserve"> wykonuje obowiązki regulacyjne w zakresie działalności pożytku publicznego i wolontariatu oraz </w:t>
            </w:r>
            <w:r w:rsidRPr="00843F77">
              <w:rPr>
                <w:rFonts w:ascii="Times New Roman" w:hAnsi="Times New Roman"/>
                <w:spacing w:val="-2"/>
              </w:rPr>
              <w:t xml:space="preserve"> </w:t>
            </w:r>
            <w:r w:rsidR="000E7D04" w:rsidRPr="00843F77">
              <w:rPr>
                <w:rFonts w:ascii="Times New Roman" w:hAnsi="Times New Roman"/>
                <w:spacing w:val="-2"/>
              </w:rPr>
              <w:t xml:space="preserve">jest organem pełniącym nadzór nad </w:t>
            </w:r>
            <w:r w:rsidR="00106FEE" w:rsidRPr="005654B4">
              <w:rPr>
                <w:rFonts w:ascii="Times New Roman" w:hAnsi="Times New Roman"/>
              </w:rPr>
              <w:t>organizacjami pożytku publicznego</w:t>
            </w:r>
            <w:r w:rsidR="00106FEE">
              <w:rPr>
                <w:rFonts w:ascii="Times New Roman" w:hAnsi="Times New Roman"/>
              </w:rPr>
              <w:t xml:space="preserve"> i sprawuje nadzór nad </w:t>
            </w:r>
            <w:r w:rsidR="000E7D04" w:rsidRPr="00843F77">
              <w:rPr>
                <w:rFonts w:ascii="Times New Roman" w:hAnsi="Times New Roman"/>
                <w:spacing w:val="-2"/>
              </w:rPr>
              <w:t xml:space="preserve">działalnością Narodowego Centrum Rozwoju Społeczeństwa Obywatelskiego. </w:t>
            </w:r>
            <w:r w:rsidR="00106FEE" w:rsidRPr="005654B4">
              <w:rPr>
                <w:rFonts w:ascii="Times New Roman" w:hAnsi="Times New Roman"/>
              </w:rPr>
              <w:t xml:space="preserve"> </w:t>
            </w:r>
          </w:p>
        </w:tc>
      </w:tr>
      <w:tr w:rsidR="00260F33" w:rsidRPr="00843F77" w:rsidTr="001112D5">
        <w:trPr>
          <w:gridAfter w:val="1"/>
          <w:wAfter w:w="10" w:type="dxa"/>
          <w:trHeight w:val="142"/>
        </w:trPr>
        <w:tc>
          <w:tcPr>
            <w:tcW w:w="2661" w:type="dxa"/>
            <w:gridSpan w:val="3"/>
            <w:shd w:val="clear" w:color="auto" w:fill="auto"/>
          </w:tcPr>
          <w:p w:rsidR="00260F33" w:rsidRPr="00843F77" w:rsidRDefault="009B5F1E" w:rsidP="007F0021">
            <w:pPr>
              <w:spacing w:line="240" w:lineRule="auto"/>
              <w:rPr>
                <w:rFonts w:ascii="Times New Roman" w:hAnsi="Times New Roman"/>
                <w:spacing w:val="-2"/>
              </w:rPr>
            </w:pPr>
            <w:r w:rsidRPr="00843F77">
              <w:rPr>
                <w:rFonts w:ascii="Times New Roman" w:hAnsi="Times New Roman"/>
              </w:rPr>
              <w:t>Ministerstwo Rodziny Pracy i Polityki Społecznej</w:t>
            </w:r>
          </w:p>
        </w:tc>
        <w:tc>
          <w:tcPr>
            <w:tcW w:w="2297" w:type="dxa"/>
            <w:gridSpan w:val="6"/>
            <w:shd w:val="clear" w:color="auto" w:fill="auto"/>
          </w:tcPr>
          <w:p w:rsidR="00260F33" w:rsidRPr="00843F77" w:rsidRDefault="00260F33" w:rsidP="00BD05E3">
            <w:pPr>
              <w:spacing w:line="240" w:lineRule="auto"/>
              <w:jc w:val="center"/>
              <w:rPr>
                <w:rFonts w:ascii="Times New Roman" w:hAnsi="Times New Roman"/>
                <w:spacing w:val="-2"/>
              </w:rPr>
            </w:pPr>
          </w:p>
        </w:tc>
        <w:tc>
          <w:tcPr>
            <w:tcW w:w="2996" w:type="dxa"/>
            <w:gridSpan w:val="11"/>
            <w:shd w:val="clear" w:color="auto" w:fill="auto"/>
          </w:tcPr>
          <w:p w:rsidR="00260F33" w:rsidRPr="00843F77" w:rsidRDefault="00260F33" w:rsidP="007F0021">
            <w:pPr>
              <w:spacing w:line="240" w:lineRule="auto"/>
              <w:rPr>
                <w:rFonts w:ascii="Times New Roman" w:hAnsi="Times New Roman"/>
                <w:spacing w:val="-2"/>
              </w:rPr>
            </w:pPr>
          </w:p>
        </w:tc>
        <w:tc>
          <w:tcPr>
            <w:tcW w:w="2983" w:type="dxa"/>
            <w:gridSpan w:val="6"/>
            <w:shd w:val="clear" w:color="auto" w:fill="auto"/>
          </w:tcPr>
          <w:p w:rsidR="00260F33" w:rsidRPr="00843F77" w:rsidRDefault="00096E08" w:rsidP="00106FEE">
            <w:pPr>
              <w:spacing w:line="240" w:lineRule="auto"/>
              <w:rPr>
                <w:rFonts w:ascii="Times New Roman" w:hAnsi="Times New Roman"/>
                <w:spacing w:val="-2"/>
              </w:rPr>
            </w:pPr>
            <w:r w:rsidRPr="00843F77">
              <w:rPr>
                <w:rFonts w:ascii="Times New Roman" w:hAnsi="Times New Roman"/>
                <w:spacing w:val="-2"/>
              </w:rPr>
              <w:t xml:space="preserve">Przekazanie kompetencji Prezesowi Rady Ministrów lub </w:t>
            </w:r>
            <w:r w:rsidR="00106FEE">
              <w:rPr>
                <w:rFonts w:ascii="Times New Roman" w:hAnsi="Times New Roman"/>
                <w:spacing w:val="-2"/>
              </w:rPr>
              <w:lastRenderedPageBreak/>
              <w:t>Dyrektorowi</w:t>
            </w:r>
            <w:r w:rsidRPr="00843F77">
              <w:rPr>
                <w:rFonts w:ascii="Times New Roman" w:hAnsi="Times New Roman"/>
                <w:spacing w:val="-2"/>
              </w:rPr>
              <w:t xml:space="preserve"> Narodowego Centrum Rozwoju Społeczeństwa Obywatelskiego wynikających z projektu ustawy oraz w związku z uchyleniem pkt 9 i 10 w art. 31 ustawie z dnia 4 września 1997 r. o działach administracji rządowej (Dz. U. z </w:t>
            </w:r>
            <w:r w:rsidR="001B6560" w:rsidRPr="00843F77">
              <w:rPr>
                <w:rFonts w:ascii="Times New Roman" w:hAnsi="Times New Roman"/>
                <w:spacing w:val="-2"/>
              </w:rPr>
              <w:t xml:space="preserve">2016 </w:t>
            </w:r>
            <w:r w:rsidRPr="00843F77">
              <w:rPr>
                <w:rFonts w:ascii="Times New Roman" w:hAnsi="Times New Roman"/>
                <w:spacing w:val="-2"/>
              </w:rPr>
              <w:t xml:space="preserve">r. poz. </w:t>
            </w:r>
            <w:r w:rsidR="001B6560" w:rsidRPr="00843F77">
              <w:rPr>
                <w:rFonts w:ascii="Times New Roman" w:hAnsi="Times New Roman"/>
                <w:spacing w:val="-2"/>
              </w:rPr>
              <w:t>543</w:t>
            </w:r>
            <w:r w:rsidRPr="00843F77">
              <w:rPr>
                <w:rFonts w:ascii="Times New Roman" w:hAnsi="Times New Roman"/>
                <w:spacing w:val="-2"/>
              </w:rPr>
              <w:t>, z późn. zm.).</w:t>
            </w:r>
          </w:p>
        </w:tc>
      </w:tr>
      <w:tr w:rsidR="00260F33" w:rsidRPr="00843F77" w:rsidTr="001112D5">
        <w:trPr>
          <w:gridAfter w:val="1"/>
          <w:wAfter w:w="10" w:type="dxa"/>
          <w:trHeight w:val="142"/>
        </w:trPr>
        <w:tc>
          <w:tcPr>
            <w:tcW w:w="2661" w:type="dxa"/>
            <w:gridSpan w:val="3"/>
            <w:shd w:val="clear" w:color="auto" w:fill="auto"/>
          </w:tcPr>
          <w:p w:rsidR="00260F33" w:rsidRPr="00843F77" w:rsidRDefault="00055BA0" w:rsidP="00A17CB2">
            <w:pPr>
              <w:spacing w:line="240" w:lineRule="auto"/>
              <w:rPr>
                <w:rFonts w:ascii="Times New Roman" w:hAnsi="Times New Roman"/>
                <w:spacing w:val="-2"/>
              </w:rPr>
            </w:pPr>
            <w:r w:rsidRPr="00843F77">
              <w:rPr>
                <w:rFonts w:ascii="Times New Roman" w:hAnsi="Times New Roman"/>
              </w:rPr>
              <w:lastRenderedPageBreak/>
              <w:t>Organizacje Pozarządowe</w:t>
            </w:r>
            <w:r w:rsidR="00106FEE">
              <w:rPr>
                <w:rFonts w:ascii="Times New Roman" w:hAnsi="Times New Roman"/>
              </w:rPr>
              <w:t xml:space="preserve"> oraz </w:t>
            </w:r>
            <w:r w:rsidR="00106FEE" w:rsidRPr="00106FEE">
              <w:rPr>
                <w:rFonts w:ascii="Times New Roman" w:hAnsi="Times New Roman"/>
              </w:rPr>
              <w:t>podmioty określone w art. 3 ust. 3 ustawy z dnia 24 kwietnia 2003 r. o działalności pożytku publicznego i o wolontariacie</w:t>
            </w:r>
          </w:p>
        </w:tc>
        <w:tc>
          <w:tcPr>
            <w:tcW w:w="2297" w:type="dxa"/>
            <w:gridSpan w:val="6"/>
            <w:shd w:val="clear" w:color="auto" w:fill="auto"/>
          </w:tcPr>
          <w:p w:rsidR="00260F33" w:rsidRPr="00843F77" w:rsidRDefault="00BD05E3" w:rsidP="00295101">
            <w:pPr>
              <w:spacing w:line="240" w:lineRule="auto"/>
              <w:jc w:val="center"/>
              <w:rPr>
                <w:rFonts w:ascii="Times New Roman" w:hAnsi="Times New Roman"/>
                <w:spacing w:val="-2"/>
              </w:rPr>
            </w:pPr>
            <w:r w:rsidRPr="00843F77">
              <w:rPr>
                <w:rFonts w:ascii="Times New Roman" w:hAnsi="Times New Roman"/>
                <w:spacing w:val="-2"/>
              </w:rPr>
              <w:t xml:space="preserve">ok. </w:t>
            </w:r>
            <w:r w:rsidR="00295101">
              <w:rPr>
                <w:rFonts w:ascii="Times New Roman" w:hAnsi="Times New Roman"/>
                <w:spacing w:val="-2"/>
              </w:rPr>
              <w:t>100,7</w:t>
            </w:r>
            <w:r w:rsidR="00060F8C" w:rsidRPr="00843F77">
              <w:rPr>
                <w:rFonts w:ascii="Times New Roman" w:hAnsi="Times New Roman"/>
                <w:spacing w:val="-2"/>
              </w:rPr>
              <w:t xml:space="preserve"> tys</w:t>
            </w:r>
            <w:r w:rsidR="00106FEE">
              <w:rPr>
                <w:rFonts w:ascii="Times New Roman" w:hAnsi="Times New Roman"/>
                <w:spacing w:val="-2"/>
              </w:rPr>
              <w:t>.</w:t>
            </w:r>
            <w:r w:rsidR="00295101">
              <w:rPr>
                <w:rFonts w:ascii="Times New Roman" w:hAnsi="Times New Roman"/>
                <w:spacing w:val="-2"/>
              </w:rPr>
              <w:t xml:space="preserve"> organizacji rejestrowych oraz ok. 6 tys. stowarzyszeń zwykłych, a także ok. 61 tys. przyparafialnych organizacji Kościoła katolickiego i inne organizacje nieuwzględnione w pow. zestawieniu </w:t>
            </w:r>
          </w:p>
        </w:tc>
        <w:tc>
          <w:tcPr>
            <w:tcW w:w="2996" w:type="dxa"/>
            <w:gridSpan w:val="11"/>
            <w:shd w:val="clear" w:color="auto" w:fill="auto"/>
          </w:tcPr>
          <w:p w:rsidR="00260F33" w:rsidRPr="00843F77" w:rsidRDefault="00060F8C" w:rsidP="00295101">
            <w:pPr>
              <w:spacing w:line="240" w:lineRule="auto"/>
              <w:rPr>
                <w:rFonts w:ascii="Times New Roman" w:hAnsi="Times New Roman"/>
                <w:spacing w:val="-2"/>
              </w:rPr>
            </w:pPr>
            <w:r w:rsidRPr="00843F77">
              <w:rPr>
                <w:rFonts w:ascii="Times New Roman" w:hAnsi="Times New Roman"/>
                <w:spacing w:val="-2"/>
              </w:rPr>
              <w:t>Dane GUS:</w:t>
            </w:r>
            <w:r w:rsidR="00D97000" w:rsidRPr="00843F77">
              <w:rPr>
                <w:rFonts w:ascii="Times New Roman" w:hAnsi="Times New Roman"/>
                <w:spacing w:val="-2"/>
              </w:rPr>
              <w:t xml:space="preserve"> </w:t>
            </w:r>
            <w:r w:rsidR="00295101">
              <w:rPr>
                <w:rFonts w:ascii="Times New Roman" w:hAnsi="Times New Roman"/>
                <w:spacing w:val="-2"/>
              </w:rPr>
              <w:t>Sektor non-profit w 2014</w:t>
            </w:r>
            <w:r w:rsidR="00D97000" w:rsidRPr="00843F77">
              <w:rPr>
                <w:rFonts w:ascii="Times New Roman" w:hAnsi="Times New Roman"/>
                <w:spacing w:val="-2"/>
              </w:rPr>
              <w:t xml:space="preserve"> r.</w:t>
            </w:r>
          </w:p>
        </w:tc>
        <w:tc>
          <w:tcPr>
            <w:tcW w:w="2983" w:type="dxa"/>
            <w:gridSpan w:val="6"/>
            <w:shd w:val="clear" w:color="auto" w:fill="auto"/>
          </w:tcPr>
          <w:p w:rsidR="00060F8C" w:rsidRPr="00843F77" w:rsidRDefault="00D97000" w:rsidP="00156C63">
            <w:pPr>
              <w:spacing w:line="240" w:lineRule="auto"/>
              <w:rPr>
                <w:rFonts w:ascii="Times New Roman" w:hAnsi="Times New Roman"/>
                <w:spacing w:val="-2"/>
              </w:rPr>
            </w:pPr>
            <w:r w:rsidRPr="00843F77">
              <w:rPr>
                <w:rFonts w:ascii="Times New Roman" w:hAnsi="Times New Roman"/>
                <w:spacing w:val="-2"/>
              </w:rPr>
              <w:t>U</w:t>
            </w:r>
            <w:r w:rsidR="00060F8C" w:rsidRPr="00843F77">
              <w:rPr>
                <w:rFonts w:ascii="Times New Roman" w:hAnsi="Times New Roman"/>
                <w:spacing w:val="-2"/>
              </w:rPr>
              <w:t>biegani</w:t>
            </w:r>
            <w:r w:rsidR="004347FD" w:rsidRPr="00843F77">
              <w:rPr>
                <w:rFonts w:ascii="Times New Roman" w:hAnsi="Times New Roman"/>
                <w:spacing w:val="-2"/>
              </w:rPr>
              <w:t>e</w:t>
            </w:r>
            <w:r w:rsidR="00060F8C" w:rsidRPr="00843F77">
              <w:rPr>
                <w:rFonts w:ascii="Times New Roman" w:hAnsi="Times New Roman"/>
                <w:spacing w:val="-2"/>
              </w:rPr>
              <w:t xml:space="preserve"> się o przyznani</w:t>
            </w:r>
            <w:r w:rsidRPr="00843F77">
              <w:rPr>
                <w:rFonts w:ascii="Times New Roman" w:hAnsi="Times New Roman"/>
                <w:spacing w:val="-2"/>
              </w:rPr>
              <w:t>e</w:t>
            </w:r>
            <w:r w:rsidR="00060F8C" w:rsidRPr="00843F77">
              <w:rPr>
                <w:rFonts w:ascii="Times New Roman" w:hAnsi="Times New Roman"/>
                <w:spacing w:val="-2"/>
              </w:rPr>
              <w:t xml:space="preserve"> dotacji na wykonanie </w:t>
            </w:r>
            <w:r w:rsidR="007C3ED4" w:rsidRPr="00843F77">
              <w:rPr>
                <w:rFonts w:ascii="Times New Roman" w:hAnsi="Times New Roman"/>
                <w:spacing w:val="-2"/>
              </w:rPr>
              <w:br/>
            </w:r>
            <w:r w:rsidR="00060F8C" w:rsidRPr="00843F77">
              <w:rPr>
                <w:rFonts w:ascii="Times New Roman" w:hAnsi="Times New Roman"/>
                <w:spacing w:val="-2"/>
              </w:rPr>
              <w:t xml:space="preserve">i finansowanie projektów. </w:t>
            </w:r>
          </w:p>
          <w:p w:rsidR="00060F8C" w:rsidRPr="00843F77" w:rsidRDefault="00060F8C" w:rsidP="00060F8C">
            <w:pPr>
              <w:spacing w:line="240" w:lineRule="auto"/>
              <w:rPr>
                <w:rFonts w:ascii="Times New Roman" w:hAnsi="Times New Roman"/>
                <w:spacing w:val="-2"/>
              </w:rPr>
            </w:pPr>
          </w:p>
        </w:tc>
      </w:tr>
      <w:tr w:rsidR="00260F33" w:rsidRPr="00843F77" w:rsidTr="001112D5">
        <w:trPr>
          <w:gridAfter w:val="1"/>
          <w:wAfter w:w="10" w:type="dxa"/>
          <w:trHeight w:val="142"/>
        </w:trPr>
        <w:tc>
          <w:tcPr>
            <w:tcW w:w="2661" w:type="dxa"/>
            <w:gridSpan w:val="3"/>
            <w:shd w:val="clear" w:color="auto" w:fill="auto"/>
          </w:tcPr>
          <w:p w:rsidR="00260F33" w:rsidRPr="00843F77" w:rsidRDefault="00096E08" w:rsidP="0072636A">
            <w:pPr>
              <w:tabs>
                <w:tab w:val="left" w:pos="1560"/>
              </w:tabs>
              <w:spacing w:line="240" w:lineRule="auto"/>
              <w:rPr>
                <w:rFonts w:ascii="Times New Roman" w:hAnsi="Times New Roman"/>
              </w:rPr>
            </w:pPr>
            <w:r w:rsidRPr="00843F77">
              <w:rPr>
                <w:rFonts w:ascii="Times New Roman" w:hAnsi="Times New Roman"/>
              </w:rPr>
              <w:t>Obywatele</w:t>
            </w:r>
          </w:p>
        </w:tc>
        <w:tc>
          <w:tcPr>
            <w:tcW w:w="2297" w:type="dxa"/>
            <w:gridSpan w:val="6"/>
            <w:shd w:val="clear" w:color="auto" w:fill="auto"/>
          </w:tcPr>
          <w:p w:rsidR="00260F33" w:rsidRPr="00843F77" w:rsidRDefault="006539D5" w:rsidP="00A17CB2">
            <w:pPr>
              <w:spacing w:line="240" w:lineRule="auto"/>
              <w:rPr>
                <w:rFonts w:ascii="Times New Roman" w:hAnsi="Times New Roman"/>
                <w:spacing w:val="-2"/>
                <w:sz w:val="24"/>
                <w:szCs w:val="24"/>
              </w:rPr>
            </w:pPr>
            <w:r w:rsidRPr="00843F77">
              <w:rPr>
                <w:rFonts w:ascii="Times New Roman" w:hAnsi="Times New Roman"/>
                <w:bCs/>
                <w:sz w:val="24"/>
                <w:szCs w:val="24"/>
                <w:lang w:eastAsia="pl-PL"/>
              </w:rPr>
              <w:t>38478602</w:t>
            </w:r>
          </w:p>
        </w:tc>
        <w:tc>
          <w:tcPr>
            <w:tcW w:w="2996" w:type="dxa"/>
            <w:gridSpan w:val="11"/>
            <w:shd w:val="clear" w:color="auto" w:fill="auto"/>
          </w:tcPr>
          <w:p w:rsidR="00260F33" w:rsidRPr="00843F77" w:rsidRDefault="006539D5" w:rsidP="006539D5">
            <w:pPr>
              <w:spacing w:line="240" w:lineRule="auto"/>
              <w:rPr>
                <w:rFonts w:ascii="Times New Roman" w:hAnsi="Times New Roman"/>
                <w:spacing w:val="-2"/>
              </w:rPr>
            </w:pPr>
            <w:r w:rsidRPr="00843F77">
              <w:rPr>
                <w:rFonts w:ascii="Times New Roman" w:hAnsi="Times New Roman"/>
                <w:spacing w:val="-2"/>
              </w:rPr>
              <w:t>Dane GUS: Stan i struktura ludności oraz struktura ludności w przekroju naturalnym w 2014 r. Stan w dniu 31 grudnia 2014 r.</w:t>
            </w:r>
          </w:p>
        </w:tc>
        <w:tc>
          <w:tcPr>
            <w:tcW w:w="2983" w:type="dxa"/>
            <w:gridSpan w:val="6"/>
            <w:shd w:val="clear" w:color="auto" w:fill="auto"/>
          </w:tcPr>
          <w:p w:rsidR="00260F33" w:rsidRDefault="00D97000" w:rsidP="00D97000">
            <w:pPr>
              <w:spacing w:line="240" w:lineRule="auto"/>
              <w:rPr>
                <w:rFonts w:ascii="Times New Roman" w:hAnsi="Times New Roman"/>
                <w:color w:val="000000"/>
                <w:spacing w:val="-2"/>
              </w:rPr>
            </w:pPr>
            <w:r w:rsidRPr="00843F77">
              <w:rPr>
                <w:rFonts w:ascii="Times New Roman" w:hAnsi="Times New Roman"/>
                <w:color w:val="000000"/>
                <w:spacing w:val="-2"/>
              </w:rPr>
              <w:t>Udział oraz beneficjenci</w:t>
            </w:r>
            <w:r w:rsidR="00060F8C" w:rsidRPr="00843F77">
              <w:rPr>
                <w:rFonts w:ascii="Times New Roman" w:hAnsi="Times New Roman"/>
                <w:color w:val="000000"/>
                <w:spacing w:val="-2"/>
              </w:rPr>
              <w:t xml:space="preserve"> działań </w:t>
            </w:r>
            <w:r w:rsidRPr="00843F77">
              <w:rPr>
                <w:rFonts w:ascii="Times New Roman" w:hAnsi="Times New Roman"/>
                <w:color w:val="000000"/>
                <w:spacing w:val="-2"/>
              </w:rPr>
              <w:t>wykonywanych przez organizacje pozarządowe</w:t>
            </w:r>
            <w:r w:rsidR="00060F8C" w:rsidRPr="00843F77">
              <w:rPr>
                <w:rFonts w:ascii="Times New Roman" w:hAnsi="Times New Roman"/>
                <w:color w:val="000000"/>
                <w:spacing w:val="-2"/>
              </w:rPr>
              <w:t xml:space="preserve"> </w:t>
            </w:r>
            <w:r w:rsidR="00156C63">
              <w:rPr>
                <w:rFonts w:ascii="Times New Roman" w:hAnsi="Times New Roman"/>
                <w:color w:val="000000"/>
                <w:spacing w:val="-2"/>
              </w:rPr>
              <w:br/>
            </w:r>
            <w:r w:rsidR="00060F8C" w:rsidRPr="00843F77">
              <w:rPr>
                <w:rFonts w:ascii="Times New Roman" w:hAnsi="Times New Roman"/>
                <w:color w:val="000000"/>
                <w:spacing w:val="-2"/>
              </w:rPr>
              <w:t xml:space="preserve">w ramach </w:t>
            </w:r>
            <w:r w:rsidRPr="00843F77">
              <w:rPr>
                <w:rFonts w:ascii="Times New Roman" w:hAnsi="Times New Roman"/>
                <w:color w:val="000000"/>
                <w:spacing w:val="-2"/>
              </w:rPr>
              <w:t>realizowanych</w:t>
            </w:r>
            <w:r w:rsidR="00060F8C" w:rsidRPr="00843F77">
              <w:rPr>
                <w:rFonts w:ascii="Times New Roman" w:hAnsi="Times New Roman"/>
                <w:color w:val="000000"/>
                <w:spacing w:val="-2"/>
              </w:rPr>
              <w:t xml:space="preserve"> projekt</w:t>
            </w:r>
            <w:r w:rsidRPr="00843F77">
              <w:rPr>
                <w:rFonts w:ascii="Times New Roman" w:hAnsi="Times New Roman"/>
                <w:color w:val="000000"/>
                <w:spacing w:val="-2"/>
              </w:rPr>
              <w:t>ów</w:t>
            </w:r>
            <w:r w:rsidR="00060F8C" w:rsidRPr="00843F77">
              <w:rPr>
                <w:rFonts w:ascii="Times New Roman" w:hAnsi="Times New Roman"/>
                <w:color w:val="000000"/>
                <w:spacing w:val="-2"/>
              </w:rPr>
              <w:t>.</w:t>
            </w:r>
            <w:r w:rsidRPr="00843F77">
              <w:rPr>
                <w:rFonts w:ascii="Times New Roman" w:hAnsi="Times New Roman"/>
                <w:color w:val="000000"/>
                <w:spacing w:val="-2"/>
              </w:rPr>
              <w:t xml:space="preserve"> </w:t>
            </w:r>
          </w:p>
          <w:p w:rsidR="007A464E" w:rsidRPr="00843F77" w:rsidRDefault="007A464E" w:rsidP="00D97000">
            <w:pPr>
              <w:spacing w:line="240" w:lineRule="auto"/>
              <w:rPr>
                <w:rFonts w:ascii="Times New Roman" w:hAnsi="Times New Roman"/>
                <w:color w:val="000000"/>
                <w:spacing w:val="-2"/>
              </w:rPr>
            </w:pPr>
          </w:p>
        </w:tc>
      </w:tr>
      <w:tr w:rsidR="006A701A" w:rsidRPr="00843F77" w:rsidTr="00676C8D">
        <w:trPr>
          <w:gridAfter w:val="1"/>
          <w:wAfter w:w="10" w:type="dxa"/>
          <w:trHeight w:val="302"/>
        </w:trPr>
        <w:tc>
          <w:tcPr>
            <w:tcW w:w="10937" w:type="dxa"/>
            <w:gridSpan w:val="26"/>
            <w:shd w:val="clear" w:color="auto" w:fill="99CCFF"/>
            <w:vAlign w:val="center"/>
          </w:tcPr>
          <w:p w:rsidR="006A701A" w:rsidRPr="00843F77" w:rsidRDefault="001B3460" w:rsidP="00213EFD">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t>Informacje na temat zakresu</w:t>
            </w:r>
            <w:r w:rsidR="0076658F" w:rsidRPr="00843F77">
              <w:rPr>
                <w:rFonts w:ascii="Times New Roman" w:hAnsi="Times New Roman"/>
                <w:b/>
                <w:color w:val="000000"/>
              </w:rPr>
              <w:t>,</w:t>
            </w:r>
            <w:r w:rsidRPr="00843F77">
              <w:rPr>
                <w:rFonts w:ascii="Times New Roman" w:hAnsi="Times New Roman"/>
                <w:b/>
                <w:color w:val="000000"/>
              </w:rPr>
              <w:t xml:space="preserve"> czasu trwania </w:t>
            </w:r>
            <w:r w:rsidR="0076658F" w:rsidRPr="00843F77">
              <w:rPr>
                <w:rFonts w:ascii="Times New Roman" w:hAnsi="Times New Roman"/>
                <w:b/>
                <w:color w:val="000000"/>
              </w:rPr>
              <w:t xml:space="preserve">i podsumowanie wyników </w:t>
            </w:r>
            <w:r w:rsidRPr="00843F77">
              <w:rPr>
                <w:rFonts w:ascii="Times New Roman" w:hAnsi="Times New Roman"/>
                <w:b/>
                <w:color w:val="000000"/>
              </w:rPr>
              <w:t>konsultacji</w:t>
            </w:r>
          </w:p>
        </w:tc>
      </w:tr>
      <w:tr w:rsidR="006A701A" w:rsidRPr="00843F77" w:rsidTr="00676C8D">
        <w:trPr>
          <w:gridAfter w:val="1"/>
          <w:wAfter w:w="10" w:type="dxa"/>
          <w:trHeight w:val="342"/>
        </w:trPr>
        <w:tc>
          <w:tcPr>
            <w:tcW w:w="10937" w:type="dxa"/>
            <w:gridSpan w:val="26"/>
            <w:shd w:val="clear" w:color="auto" w:fill="FFFFFF"/>
          </w:tcPr>
          <w:p w:rsidR="00716023" w:rsidRDefault="00716023" w:rsidP="00B37C80">
            <w:pPr>
              <w:spacing w:line="240" w:lineRule="auto"/>
              <w:jc w:val="both"/>
              <w:rPr>
                <w:rFonts w:ascii="Times New Roman" w:hAnsi="Times New Roman"/>
                <w:color w:val="000000"/>
                <w:spacing w:val="-2"/>
              </w:rPr>
            </w:pPr>
          </w:p>
          <w:p w:rsidR="00363309" w:rsidRDefault="00055BA0" w:rsidP="00B37C80">
            <w:pPr>
              <w:spacing w:line="240" w:lineRule="auto"/>
              <w:jc w:val="both"/>
              <w:rPr>
                <w:rFonts w:ascii="Times New Roman" w:hAnsi="Times New Roman"/>
                <w:color w:val="000000"/>
                <w:spacing w:val="-2"/>
              </w:rPr>
            </w:pPr>
            <w:r w:rsidRPr="00843F77">
              <w:rPr>
                <w:rFonts w:ascii="Times New Roman" w:hAnsi="Times New Roman"/>
                <w:color w:val="000000"/>
                <w:spacing w:val="-2"/>
              </w:rPr>
              <w:t>Projekt ustawy o Narodowym Centrum Rozwoju Społe</w:t>
            </w:r>
            <w:r w:rsidR="00295101">
              <w:rPr>
                <w:rFonts w:ascii="Times New Roman" w:hAnsi="Times New Roman"/>
                <w:color w:val="000000"/>
                <w:spacing w:val="-2"/>
              </w:rPr>
              <w:t>czeństwa Obywatelskiego został</w:t>
            </w:r>
            <w:r w:rsidRPr="00843F77">
              <w:rPr>
                <w:rFonts w:ascii="Times New Roman" w:hAnsi="Times New Roman"/>
                <w:color w:val="000000"/>
                <w:spacing w:val="-2"/>
              </w:rPr>
              <w:t xml:space="preserve"> </w:t>
            </w:r>
            <w:r w:rsidR="005924C1">
              <w:rPr>
                <w:rFonts w:ascii="Times New Roman" w:hAnsi="Times New Roman"/>
                <w:color w:val="000000"/>
                <w:spacing w:val="-2"/>
              </w:rPr>
              <w:t xml:space="preserve">19 grudnia 2016 r. </w:t>
            </w:r>
            <w:r w:rsidRPr="00843F77">
              <w:rPr>
                <w:rFonts w:ascii="Times New Roman" w:hAnsi="Times New Roman"/>
                <w:color w:val="000000"/>
                <w:spacing w:val="-2"/>
              </w:rPr>
              <w:t>udostępniony w Biuletynie Informacji Publicznej na stronie internetowej Rządowego Centrum Legislacji w zakładce Rządowy Proces Legislacyjny i poddany uzgodnieniom z wszystkimi członkami Rady Ministrów.</w:t>
            </w:r>
            <w:r w:rsidR="005924C1">
              <w:rPr>
                <w:rFonts w:ascii="Times New Roman" w:hAnsi="Times New Roman"/>
                <w:color w:val="000000"/>
                <w:spacing w:val="-2"/>
              </w:rPr>
              <w:t xml:space="preserve"> </w:t>
            </w:r>
          </w:p>
          <w:p w:rsidR="00A13566" w:rsidRPr="00843F77" w:rsidRDefault="00A13566" w:rsidP="00B37C80">
            <w:pPr>
              <w:spacing w:line="240" w:lineRule="auto"/>
              <w:jc w:val="both"/>
              <w:rPr>
                <w:rFonts w:ascii="Times New Roman" w:hAnsi="Times New Roman"/>
                <w:color w:val="000000"/>
                <w:spacing w:val="-2"/>
              </w:rPr>
            </w:pPr>
          </w:p>
          <w:p w:rsidR="00ED0FE1" w:rsidRDefault="00055BA0" w:rsidP="00B37C80">
            <w:pPr>
              <w:spacing w:line="240" w:lineRule="auto"/>
              <w:jc w:val="both"/>
              <w:rPr>
                <w:rFonts w:ascii="Times New Roman" w:hAnsi="Times New Roman"/>
                <w:color w:val="000000"/>
                <w:spacing w:val="-2"/>
              </w:rPr>
            </w:pPr>
            <w:r w:rsidRPr="00843F77">
              <w:rPr>
                <w:rFonts w:ascii="Times New Roman" w:hAnsi="Times New Roman"/>
                <w:color w:val="000000"/>
                <w:spacing w:val="-2"/>
              </w:rPr>
              <w:t xml:space="preserve">Projekt ustawy </w:t>
            </w:r>
            <w:r w:rsidR="00295101">
              <w:rPr>
                <w:rFonts w:ascii="Times New Roman" w:hAnsi="Times New Roman"/>
                <w:color w:val="000000"/>
                <w:spacing w:val="-2"/>
              </w:rPr>
              <w:t>był</w:t>
            </w:r>
            <w:r w:rsidRPr="00843F77">
              <w:rPr>
                <w:rFonts w:ascii="Times New Roman" w:hAnsi="Times New Roman"/>
                <w:color w:val="000000"/>
                <w:spacing w:val="-2"/>
              </w:rPr>
              <w:t xml:space="preserve"> również przedmiotem </w:t>
            </w:r>
            <w:r w:rsidR="007A5676">
              <w:rPr>
                <w:rFonts w:ascii="Times New Roman" w:hAnsi="Times New Roman"/>
                <w:color w:val="000000"/>
                <w:spacing w:val="-2"/>
              </w:rPr>
              <w:t xml:space="preserve">opiniowania i </w:t>
            </w:r>
            <w:r w:rsidRPr="00843F77">
              <w:rPr>
                <w:rFonts w:ascii="Times New Roman" w:hAnsi="Times New Roman"/>
                <w:color w:val="000000"/>
                <w:spacing w:val="-2"/>
              </w:rPr>
              <w:t>konsultacji, przeprowadzonych równocześnie z uzgodnieniami międzyresortowymi. Projekt z</w:t>
            </w:r>
            <w:r w:rsidR="00295101">
              <w:rPr>
                <w:rFonts w:ascii="Times New Roman" w:hAnsi="Times New Roman"/>
                <w:color w:val="000000"/>
                <w:spacing w:val="-2"/>
              </w:rPr>
              <w:t>ostał</w:t>
            </w:r>
            <w:r w:rsidRPr="00843F77">
              <w:rPr>
                <w:rFonts w:ascii="Times New Roman" w:hAnsi="Times New Roman"/>
                <w:color w:val="000000"/>
                <w:spacing w:val="-2"/>
              </w:rPr>
              <w:t xml:space="preserve"> przekazany w ramach </w:t>
            </w:r>
            <w:r w:rsidR="007A5676">
              <w:rPr>
                <w:rFonts w:ascii="Times New Roman" w:hAnsi="Times New Roman"/>
                <w:color w:val="000000"/>
                <w:spacing w:val="-2"/>
              </w:rPr>
              <w:t>opiniowania</w:t>
            </w:r>
            <w:r w:rsidRPr="00843F77">
              <w:rPr>
                <w:rFonts w:ascii="Times New Roman" w:hAnsi="Times New Roman"/>
                <w:color w:val="000000"/>
                <w:spacing w:val="-2"/>
              </w:rPr>
              <w:t xml:space="preserve"> m.in. do </w:t>
            </w:r>
            <w:r w:rsidR="00ED0FE1" w:rsidRPr="00843F77">
              <w:rPr>
                <w:rFonts w:ascii="Times New Roman" w:hAnsi="Times New Roman"/>
                <w:color w:val="000000"/>
                <w:spacing w:val="-2"/>
              </w:rPr>
              <w:t>Rady Działalności Pożytku Publicznego</w:t>
            </w:r>
            <w:r w:rsidR="007A5676">
              <w:rPr>
                <w:rFonts w:ascii="Times New Roman" w:hAnsi="Times New Roman"/>
                <w:color w:val="000000"/>
                <w:spacing w:val="-2"/>
              </w:rPr>
              <w:t>, Komisji Wspólnej Rządu i Samorządu Terytorialnego, Rady Dialogu Społecznego, Rady Legislacyjnej przy Prezesie Rady Ministrów</w:t>
            </w:r>
            <w:r w:rsidR="00ED0FE1" w:rsidRPr="00843F77">
              <w:rPr>
                <w:rFonts w:ascii="Times New Roman" w:hAnsi="Times New Roman"/>
                <w:color w:val="000000"/>
                <w:spacing w:val="-2"/>
              </w:rPr>
              <w:t xml:space="preserve"> oraz </w:t>
            </w:r>
            <w:r w:rsidR="007A5676">
              <w:rPr>
                <w:rFonts w:ascii="Times New Roman" w:hAnsi="Times New Roman"/>
                <w:color w:val="000000"/>
                <w:spacing w:val="-2"/>
              </w:rPr>
              <w:t xml:space="preserve">innych instytucji i ciał dialogu obywatelskiego. </w:t>
            </w:r>
            <w:r w:rsidR="007A5676" w:rsidRPr="00843F77">
              <w:rPr>
                <w:rFonts w:ascii="Times New Roman" w:hAnsi="Times New Roman"/>
                <w:color w:val="000000"/>
                <w:spacing w:val="-2"/>
              </w:rPr>
              <w:t>Projekt z</w:t>
            </w:r>
            <w:r w:rsidR="007A5676">
              <w:rPr>
                <w:rFonts w:ascii="Times New Roman" w:hAnsi="Times New Roman"/>
                <w:color w:val="000000"/>
                <w:spacing w:val="-2"/>
              </w:rPr>
              <w:t>ostał</w:t>
            </w:r>
            <w:r w:rsidR="007A5676" w:rsidRPr="00843F77">
              <w:rPr>
                <w:rFonts w:ascii="Times New Roman" w:hAnsi="Times New Roman"/>
                <w:color w:val="000000"/>
                <w:spacing w:val="-2"/>
              </w:rPr>
              <w:t xml:space="preserve"> przekazany w ramach</w:t>
            </w:r>
            <w:r w:rsidR="007A5676">
              <w:rPr>
                <w:rFonts w:ascii="Times New Roman" w:hAnsi="Times New Roman"/>
                <w:color w:val="000000"/>
                <w:spacing w:val="-2"/>
              </w:rPr>
              <w:t xml:space="preserve"> konsultacji do </w:t>
            </w:r>
            <w:r w:rsidR="00ED0FE1" w:rsidRPr="00843F77">
              <w:rPr>
                <w:rFonts w:ascii="Times New Roman" w:hAnsi="Times New Roman"/>
                <w:spacing w:val="-2"/>
              </w:rPr>
              <w:t>organizacji pozarządowych</w:t>
            </w:r>
            <w:r w:rsidR="00F84CDF" w:rsidRPr="00843F77">
              <w:rPr>
                <w:rStyle w:val="Odwoaniedokomentarza"/>
                <w:rFonts w:ascii="Times New Roman" w:hAnsi="Times New Roman"/>
              </w:rPr>
              <w:t xml:space="preserve"> </w:t>
            </w:r>
            <w:r w:rsidR="0080637E" w:rsidRPr="00843F77">
              <w:rPr>
                <w:rStyle w:val="Odwoaniedokomentarza"/>
                <w:rFonts w:ascii="Times New Roman" w:hAnsi="Times New Roman"/>
                <w:sz w:val="22"/>
                <w:szCs w:val="22"/>
              </w:rPr>
              <w:t>p</w:t>
            </w:r>
            <w:r w:rsidR="00F84CDF" w:rsidRPr="00843F77">
              <w:rPr>
                <w:rFonts w:ascii="Times New Roman" w:hAnsi="Times New Roman"/>
                <w:color w:val="000000"/>
                <w:spacing w:val="-2"/>
              </w:rPr>
              <w:t>oprzez umieszczenie projektu ustawy</w:t>
            </w:r>
            <w:r w:rsidR="0080637E" w:rsidRPr="00843F77">
              <w:rPr>
                <w:rFonts w:ascii="Times New Roman" w:hAnsi="Times New Roman"/>
                <w:color w:val="000000"/>
                <w:spacing w:val="-2"/>
              </w:rPr>
              <w:t xml:space="preserve"> w BIP KPRM</w:t>
            </w:r>
            <w:r w:rsidR="00F84CDF" w:rsidRPr="00843F77">
              <w:rPr>
                <w:rFonts w:ascii="Times New Roman" w:hAnsi="Times New Roman"/>
                <w:color w:val="000000"/>
                <w:spacing w:val="-2"/>
              </w:rPr>
              <w:t xml:space="preserve"> </w:t>
            </w:r>
            <w:r w:rsidR="0080637E" w:rsidRPr="00843F77">
              <w:rPr>
                <w:rFonts w:ascii="Times New Roman" w:hAnsi="Times New Roman"/>
                <w:color w:val="000000"/>
                <w:spacing w:val="-2"/>
              </w:rPr>
              <w:t>oraz na stronie podmiotowej Pełnomocnika Rządu do spraw społeczeństwa obywatelskiego.</w:t>
            </w:r>
            <w:r w:rsidR="00BE59D0" w:rsidRPr="00843F77">
              <w:rPr>
                <w:rFonts w:ascii="Times New Roman" w:hAnsi="Times New Roman"/>
                <w:color w:val="000000"/>
                <w:spacing w:val="-2"/>
              </w:rPr>
              <w:t xml:space="preserve"> </w:t>
            </w:r>
            <w:r w:rsidR="0023175B" w:rsidRPr="00843F77">
              <w:rPr>
                <w:rFonts w:ascii="Times New Roman" w:hAnsi="Times New Roman"/>
                <w:color w:val="000000"/>
                <w:spacing w:val="-2"/>
              </w:rPr>
              <w:t>Pon</w:t>
            </w:r>
            <w:r w:rsidR="007A5676">
              <w:rPr>
                <w:rFonts w:ascii="Times New Roman" w:hAnsi="Times New Roman"/>
                <w:color w:val="000000"/>
                <w:spacing w:val="-2"/>
              </w:rPr>
              <w:t>adto, projekt ustawy został</w:t>
            </w:r>
            <w:r w:rsidR="0023175B" w:rsidRPr="00843F77">
              <w:rPr>
                <w:rFonts w:ascii="Times New Roman" w:hAnsi="Times New Roman"/>
                <w:color w:val="000000"/>
                <w:spacing w:val="-2"/>
              </w:rPr>
              <w:t xml:space="preserve"> udostępniony  na platformie internetowej służącej konsultacjom publicznym (www.konsultacje.gov.pl) oraz na portalu organiz</w:t>
            </w:r>
            <w:r w:rsidR="007A5676">
              <w:rPr>
                <w:rFonts w:ascii="Times New Roman" w:hAnsi="Times New Roman"/>
                <w:color w:val="000000"/>
                <w:spacing w:val="-2"/>
              </w:rPr>
              <w:t>acji pozarządowych (www.ngo.pl)</w:t>
            </w:r>
            <w:r w:rsidR="0023175B" w:rsidRPr="00843F77">
              <w:rPr>
                <w:rFonts w:ascii="Times New Roman" w:hAnsi="Times New Roman"/>
                <w:color w:val="000000"/>
                <w:spacing w:val="-2"/>
              </w:rPr>
              <w:t xml:space="preserve">, co zapewni możliwość poznania stanowisk różnych grup odbiorców oraz interesariuszy proponowanych rozwiązań zawartych w projekcie ustawy. </w:t>
            </w:r>
            <w:r w:rsidR="005924C1" w:rsidRPr="008952AB">
              <w:rPr>
                <w:rFonts w:ascii="Times New Roman" w:hAnsi="Times New Roman"/>
                <w:spacing w:val="-2"/>
              </w:rPr>
              <w:t>Zaproszenie do wzięcia udziału w konsultacjach zostało wysłane bezpośrednio do 161 organizacji pozarządowych.</w:t>
            </w:r>
            <w:r w:rsidR="005924C1">
              <w:rPr>
                <w:rFonts w:ascii="Times New Roman" w:hAnsi="Times New Roman"/>
                <w:spacing w:val="-2"/>
              </w:rPr>
              <w:t xml:space="preserve"> </w:t>
            </w:r>
            <w:r w:rsidR="0023175B" w:rsidRPr="00843F77">
              <w:rPr>
                <w:rFonts w:ascii="Times New Roman" w:hAnsi="Times New Roman"/>
                <w:color w:val="000000"/>
                <w:spacing w:val="-2"/>
              </w:rPr>
              <w:t>Dodatkowo projekt ustawy zostanie skierowany do federacji zrzeszających organizacje pozarządowe (np. OFOP, SPLOT, WRZ</w:t>
            </w:r>
            <w:r w:rsidR="007A5676">
              <w:rPr>
                <w:rFonts w:ascii="Times New Roman" w:hAnsi="Times New Roman"/>
                <w:color w:val="000000"/>
                <w:spacing w:val="-2"/>
              </w:rPr>
              <w:t>OS), co jeszcze bardziej wpłynęło</w:t>
            </w:r>
            <w:r w:rsidR="0023175B" w:rsidRPr="00843F77">
              <w:rPr>
                <w:rFonts w:ascii="Times New Roman" w:hAnsi="Times New Roman"/>
                <w:color w:val="000000"/>
                <w:spacing w:val="-2"/>
              </w:rPr>
              <w:t xml:space="preserve"> na poszerzenie oraz pogłębienie konsultacji publicznych oraz dotarcie projektu ustawy do wszystkich zainteresowanych adresatów.</w:t>
            </w:r>
            <w:r w:rsidR="00843F77">
              <w:rPr>
                <w:rFonts w:ascii="Times New Roman" w:hAnsi="Times New Roman"/>
                <w:color w:val="000000"/>
                <w:spacing w:val="-2"/>
              </w:rPr>
              <w:t xml:space="preserve"> </w:t>
            </w:r>
            <w:r w:rsidR="0080637E" w:rsidRPr="00843F77">
              <w:rPr>
                <w:rFonts w:ascii="Times New Roman" w:hAnsi="Times New Roman"/>
                <w:color w:val="000000"/>
                <w:spacing w:val="-2"/>
              </w:rPr>
              <w:t>Zainteresowane organizacje mogły zgłaszać uwagi we wskazanym terminie.</w:t>
            </w:r>
            <w:r w:rsidR="005924C1">
              <w:rPr>
                <w:rFonts w:ascii="Times New Roman" w:hAnsi="Times New Roman"/>
                <w:color w:val="000000"/>
                <w:spacing w:val="-2"/>
              </w:rPr>
              <w:t xml:space="preserve"> </w:t>
            </w:r>
            <w:r w:rsidR="005924C1" w:rsidRPr="008952AB">
              <w:rPr>
                <w:rFonts w:ascii="Times New Roman" w:hAnsi="Times New Roman"/>
              </w:rPr>
              <w:t>Konsultacje publiczne trwały od 19 grudnia 2016 r. do 31 stycznia 2017 r. Tym samym okres konsultacji publicznych był dłuższy od 21 dniowego okresu przewidzianego w § 129 uchwały Rady Ministrów z dnia 29 października 2013 r. Regulamin pracy Rady Ministrów (M. P. z 2016 r. poz. 1006 i 1204).</w:t>
            </w:r>
            <w:r w:rsidR="005924C1">
              <w:rPr>
                <w:rFonts w:ascii="Times New Roman" w:hAnsi="Times New Roman"/>
              </w:rPr>
              <w:t xml:space="preserve"> </w:t>
            </w:r>
          </w:p>
          <w:p w:rsidR="00A13566" w:rsidRPr="00843F77" w:rsidRDefault="00A13566" w:rsidP="00B37C80">
            <w:pPr>
              <w:spacing w:line="240" w:lineRule="auto"/>
              <w:jc w:val="both"/>
              <w:rPr>
                <w:rFonts w:ascii="Times New Roman" w:hAnsi="Times New Roman"/>
                <w:color w:val="000000"/>
                <w:spacing w:val="-2"/>
              </w:rPr>
            </w:pPr>
          </w:p>
          <w:p w:rsidR="005924C1" w:rsidRPr="008952AB" w:rsidRDefault="007A5676" w:rsidP="005924C1">
            <w:pPr>
              <w:jc w:val="both"/>
              <w:rPr>
                <w:rFonts w:ascii="Times New Roman" w:hAnsi="Times New Roman"/>
                <w:spacing w:val="-2"/>
              </w:rPr>
            </w:pPr>
            <w:r w:rsidRPr="007A5676">
              <w:rPr>
                <w:rFonts w:ascii="Times New Roman" w:hAnsi="Times New Roman"/>
                <w:bCs/>
              </w:rPr>
              <w:t>W czasie trwających 6 tygodni konsultacji projektu ustawy o Narodowym Centrum Rozwoju Społeczeństwa Obywatelskiego. Pełnomocnik Rządu ds. społeczeństwa obywatelskiego przy współpracy wojewodów zorganizował 23 regionalne konferencje konsultacyjne we wszystkich regionach kraju z udziałem blisko 1000 osób reprezentujących 854 organizacje pozarządowe. Towarzyszyła im debata na niespotykaną skalę. W debacie podczas konferencji jak i w mediach głos zabierali przedstawiciele różnych środowisk pozarządowych</w:t>
            </w:r>
            <w:r w:rsidR="00A13566">
              <w:rPr>
                <w:rFonts w:ascii="Times New Roman" w:hAnsi="Times New Roman"/>
                <w:bCs/>
              </w:rPr>
              <w:t>.</w:t>
            </w:r>
            <w:r w:rsidR="005924C1">
              <w:rPr>
                <w:rFonts w:ascii="Times New Roman" w:hAnsi="Times New Roman"/>
                <w:bCs/>
              </w:rPr>
              <w:t xml:space="preserve"> </w:t>
            </w:r>
            <w:r w:rsidR="005924C1" w:rsidRPr="008952AB">
              <w:rPr>
                <w:rFonts w:ascii="Times New Roman" w:hAnsi="Times New Roman"/>
                <w:spacing w:val="-2"/>
              </w:rPr>
              <w:t xml:space="preserve">Konferencje zostały zorganizowane w Rzeszowie (14.12.2016 r.), Łodzi (15.12.2016 r.), Gorzowie Wielkopolskim (15.12.2016 r.), Zielonej Górze (15.12. 2016 r.), Bydgoszczy (16.12.2016 r.), Toruniu (16.12.2016 r.), Radomiu (16.12.2016 r.), Lublinie (19.12.2016 r.), Koszalinie (21.12.2016 r.) Szczecinie (21.12.2016 r.), Katowicach (3.01.2017 r.), Krakowie (04.01.2017 r.), Tarnowie (04.01.2017 r.),  Nowym Sączu (4.01.2017 r.). Poznaniu (9.01.2017 r.), Opolu (10.01.2018 r.), Kielcach (11.01.2017 r.), Gdańsku </w:t>
            </w:r>
            <w:r w:rsidR="005924C1" w:rsidRPr="008952AB">
              <w:rPr>
                <w:rFonts w:ascii="Times New Roman" w:hAnsi="Times New Roman"/>
                <w:spacing w:val="-2"/>
              </w:rPr>
              <w:lastRenderedPageBreak/>
              <w:t>(17.01.2017 r.), Olsztynie (18.01.2017 r.), Warszawie (18.01.2017 r.), Wrocławiu (20.01.2017 r.) oraz Białymstoku (23.01.2017 r.).</w:t>
            </w:r>
          </w:p>
          <w:p w:rsidR="00A13566" w:rsidRDefault="00A13566" w:rsidP="00B37C80">
            <w:pPr>
              <w:spacing w:line="240" w:lineRule="auto"/>
              <w:jc w:val="both"/>
              <w:rPr>
                <w:rFonts w:ascii="Times New Roman" w:hAnsi="Times New Roman"/>
                <w:color w:val="000000"/>
                <w:spacing w:val="-2"/>
              </w:rPr>
            </w:pPr>
          </w:p>
          <w:p w:rsidR="007A5676" w:rsidRDefault="007A5676" w:rsidP="00B37C80">
            <w:pPr>
              <w:spacing w:line="240" w:lineRule="auto"/>
              <w:jc w:val="both"/>
              <w:rPr>
                <w:rFonts w:ascii="Times New Roman" w:hAnsi="Times New Roman"/>
                <w:color w:val="000000"/>
                <w:spacing w:val="-2"/>
              </w:rPr>
            </w:pPr>
            <w:r>
              <w:rPr>
                <w:rFonts w:ascii="Times New Roman" w:hAnsi="Times New Roman"/>
                <w:color w:val="000000"/>
                <w:spacing w:val="-2"/>
              </w:rPr>
              <w:t xml:space="preserve">Podczas konsultacji zgłoszono ok. 200 uwag, które w części zostały uwzględnione w prezentowanym projekcie ustawy. Szczegółowy raport z konsultacji zostanie opublikowany </w:t>
            </w:r>
            <w:r w:rsidRPr="00843F77">
              <w:rPr>
                <w:rFonts w:ascii="Times New Roman" w:hAnsi="Times New Roman"/>
                <w:color w:val="000000"/>
                <w:spacing w:val="-2"/>
              </w:rPr>
              <w:t>na stronie podmiotowej Pełnomocnika Rządu do spraw społeczeństwa obywatelskiego</w:t>
            </w:r>
            <w:r w:rsidR="00716023">
              <w:rPr>
                <w:rFonts w:ascii="Times New Roman" w:hAnsi="Times New Roman"/>
                <w:color w:val="000000"/>
                <w:spacing w:val="-2"/>
              </w:rPr>
              <w:t xml:space="preserve"> niezwłocznie po zakończeniu procesu uzgodnień projektu ustawy. </w:t>
            </w:r>
          </w:p>
          <w:p w:rsidR="005924C1" w:rsidRDefault="005924C1" w:rsidP="00B37C80">
            <w:pPr>
              <w:spacing w:line="240" w:lineRule="auto"/>
              <w:jc w:val="both"/>
              <w:rPr>
                <w:rFonts w:ascii="Times New Roman" w:hAnsi="Times New Roman"/>
                <w:color w:val="000000"/>
                <w:spacing w:val="-2"/>
              </w:rPr>
            </w:pPr>
          </w:p>
          <w:p w:rsidR="005924C1" w:rsidRPr="008952AB" w:rsidRDefault="005924C1" w:rsidP="005924C1">
            <w:pPr>
              <w:jc w:val="both"/>
              <w:rPr>
                <w:rFonts w:ascii="Times New Roman" w:hAnsi="Times New Roman"/>
                <w:spacing w:val="-2"/>
              </w:rPr>
            </w:pPr>
            <w:r w:rsidRPr="008952AB">
              <w:rPr>
                <w:rFonts w:ascii="Times New Roman" w:hAnsi="Times New Roman"/>
                <w:spacing w:val="-2"/>
              </w:rPr>
              <w:t>Projekt ustawy został również przesłany w dniu 19 grudnia 2016 r. do zaopiniowania przez: Radę Działalności Pożytku Publicznego, Komisję Wspólną Rządu i Samorządu Terytorialnego oraz Radę Dialogu Społecznego, z zachowaniem terminów wskazanych w przepisach:</w:t>
            </w:r>
          </w:p>
          <w:p w:rsidR="005924C1" w:rsidRPr="008952AB" w:rsidRDefault="005924C1" w:rsidP="005924C1">
            <w:pPr>
              <w:jc w:val="both"/>
              <w:rPr>
                <w:rFonts w:ascii="Times New Roman" w:hAnsi="Times New Roman"/>
                <w:spacing w:val="-2"/>
              </w:rPr>
            </w:pPr>
            <w:r w:rsidRPr="008952AB">
              <w:rPr>
                <w:rFonts w:ascii="Times New Roman" w:hAnsi="Times New Roman"/>
                <w:spacing w:val="-2"/>
              </w:rPr>
              <w:t>1) ustawy z dnia 24 kwietnia 2003 r. o działalności pożytku publicznego i o wolontariacie (Dz. U. z 2016 r. poz. 1817, z późn. zm.);</w:t>
            </w:r>
          </w:p>
          <w:p w:rsidR="005924C1" w:rsidRPr="008952AB" w:rsidRDefault="005924C1" w:rsidP="005924C1">
            <w:pPr>
              <w:jc w:val="both"/>
              <w:rPr>
                <w:rFonts w:ascii="Times New Roman" w:hAnsi="Times New Roman"/>
                <w:spacing w:val="-2"/>
              </w:rPr>
            </w:pPr>
            <w:r w:rsidRPr="008952AB">
              <w:rPr>
                <w:rFonts w:ascii="Times New Roman" w:hAnsi="Times New Roman"/>
                <w:spacing w:val="-2"/>
              </w:rPr>
              <w:t>2) ustawy z dnia 6 maja 2005 r. o Komisji Wspólnej Rządu i Samorządu Terytorialnego oraz przedstawicielach Rzeczpospolitej Polskiej w Komitecie Regionów Unii Europejskiej (Dz. U. z 2005 r. Nr 90, poz. 759, z późn. zm.);</w:t>
            </w:r>
          </w:p>
          <w:p w:rsidR="005924C1" w:rsidRPr="007A5676" w:rsidRDefault="005924C1" w:rsidP="005924C1">
            <w:pPr>
              <w:spacing w:line="240" w:lineRule="auto"/>
              <w:jc w:val="both"/>
              <w:rPr>
                <w:rFonts w:ascii="Times New Roman" w:hAnsi="Times New Roman"/>
                <w:color w:val="000000"/>
                <w:spacing w:val="-2"/>
              </w:rPr>
            </w:pPr>
            <w:r w:rsidRPr="008952AB">
              <w:rPr>
                <w:rFonts w:ascii="Times New Roman" w:hAnsi="Times New Roman"/>
                <w:spacing w:val="-2"/>
              </w:rPr>
              <w:t>3) ustawy z dnia 24 lipca 2015 r. o Radzie Dialogu Społecznego i innych instytucjach dialogu społecznego (Dz. U. z 2015 r. poz. 1240, z późn. zm.).</w:t>
            </w:r>
          </w:p>
          <w:p w:rsidR="006A701A" w:rsidRPr="00843F77" w:rsidRDefault="006A701A" w:rsidP="00B37C80">
            <w:pPr>
              <w:spacing w:line="240" w:lineRule="auto"/>
              <w:jc w:val="both"/>
              <w:rPr>
                <w:rFonts w:ascii="Times New Roman" w:hAnsi="Times New Roman"/>
                <w:color w:val="000000"/>
                <w:spacing w:val="-2"/>
              </w:rPr>
            </w:pPr>
          </w:p>
        </w:tc>
      </w:tr>
      <w:tr w:rsidR="006A701A" w:rsidRPr="00843F77" w:rsidTr="00676C8D">
        <w:trPr>
          <w:gridAfter w:val="1"/>
          <w:wAfter w:w="10" w:type="dxa"/>
          <w:trHeight w:val="363"/>
        </w:trPr>
        <w:tc>
          <w:tcPr>
            <w:tcW w:w="10937" w:type="dxa"/>
            <w:gridSpan w:val="26"/>
            <w:shd w:val="clear" w:color="auto" w:fill="99CCFF"/>
            <w:vAlign w:val="center"/>
          </w:tcPr>
          <w:p w:rsidR="006A701A" w:rsidRPr="00843F77" w:rsidRDefault="006A701A" w:rsidP="0072636A">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lastRenderedPageBreak/>
              <w:t xml:space="preserve"> Wpływ na sektor finansów publicznych</w:t>
            </w:r>
          </w:p>
        </w:tc>
      </w:tr>
      <w:tr w:rsidR="00260F33" w:rsidRPr="00843F77" w:rsidTr="001112D5">
        <w:trPr>
          <w:gridAfter w:val="1"/>
          <w:wAfter w:w="10" w:type="dxa"/>
          <w:trHeight w:val="142"/>
        </w:trPr>
        <w:tc>
          <w:tcPr>
            <w:tcW w:w="3112" w:type="dxa"/>
            <w:gridSpan w:val="4"/>
            <w:vMerge w:val="restart"/>
            <w:shd w:val="clear" w:color="auto" w:fill="FFFFFF"/>
          </w:tcPr>
          <w:p w:rsidR="00260F33" w:rsidRPr="00843F77" w:rsidRDefault="00821717" w:rsidP="00821717">
            <w:pPr>
              <w:spacing w:before="40" w:after="40"/>
              <w:rPr>
                <w:rFonts w:ascii="Times New Roman" w:hAnsi="Times New Roman"/>
                <w:i/>
                <w:color w:val="000000"/>
                <w:sz w:val="21"/>
                <w:szCs w:val="21"/>
              </w:rPr>
            </w:pPr>
            <w:r w:rsidRPr="00843F77">
              <w:rPr>
                <w:rFonts w:ascii="Times New Roman" w:hAnsi="Times New Roman"/>
                <w:color w:val="000000"/>
                <w:sz w:val="21"/>
                <w:szCs w:val="21"/>
              </w:rPr>
              <w:t xml:space="preserve">(ceny </w:t>
            </w:r>
            <w:r w:rsidR="00CF5F4F" w:rsidRPr="00843F77">
              <w:rPr>
                <w:rFonts w:ascii="Times New Roman" w:hAnsi="Times New Roman"/>
                <w:color w:val="000000"/>
                <w:sz w:val="21"/>
                <w:szCs w:val="21"/>
              </w:rPr>
              <w:t>stałe</w:t>
            </w:r>
            <w:r w:rsidRPr="00843F77">
              <w:rPr>
                <w:rFonts w:ascii="Times New Roman" w:hAnsi="Times New Roman"/>
                <w:color w:val="000000"/>
                <w:sz w:val="21"/>
                <w:szCs w:val="21"/>
              </w:rPr>
              <w:t xml:space="preserve"> z …… r.)</w:t>
            </w:r>
          </w:p>
        </w:tc>
        <w:tc>
          <w:tcPr>
            <w:tcW w:w="7825" w:type="dxa"/>
            <w:gridSpan w:val="22"/>
            <w:shd w:val="clear" w:color="auto" w:fill="FFFFFF"/>
          </w:tcPr>
          <w:p w:rsidR="00260F33" w:rsidRPr="00843F77" w:rsidRDefault="00260F33" w:rsidP="00260F33">
            <w:pPr>
              <w:spacing w:before="40" w:after="40" w:line="240" w:lineRule="auto"/>
              <w:jc w:val="center"/>
              <w:rPr>
                <w:rFonts w:ascii="Times New Roman" w:hAnsi="Times New Roman"/>
                <w:i/>
                <w:color w:val="000000"/>
                <w:spacing w:val="-2"/>
                <w:sz w:val="21"/>
                <w:szCs w:val="21"/>
              </w:rPr>
            </w:pPr>
            <w:r w:rsidRPr="00843F77">
              <w:rPr>
                <w:rFonts w:ascii="Times New Roman" w:hAnsi="Times New Roman"/>
                <w:color w:val="000000"/>
                <w:sz w:val="21"/>
                <w:szCs w:val="21"/>
              </w:rPr>
              <w:t>Skutki w okresie 10 lat od wejścia w życie zmian [</w:t>
            </w:r>
            <w:r w:rsidR="00A056CB" w:rsidRPr="00843F77">
              <w:rPr>
                <w:rFonts w:ascii="Times New Roman" w:hAnsi="Times New Roman"/>
                <w:color w:val="000000"/>
                <w:sz w:val="21"/>
                <w:szCs w:val="21"/>
              </w:rPr>
              <w:t xml:space="preserve">mln </w:t>
            </w:r>
            <w:r w:rsidRPr="00843F77">
              <w:rPr>
                <w:rFonts w:ascii="Times New Roman" w:hAnsi="Times New Roman"/>
                <w:color w:val="000000"/>
                <w:sz w:val="21"/>
                <w:szCs w:val="21"/>
              </w:rPr>
              <w:t>zł]</w:t>
            </w:r>
          </w:p>
        </w:tc>
      </w:tr>
      <w:tr w:rsidR="0057668E" w:rsidRPr="005513E2" w:rsidTr="001112D5">
        <w:trPr>
          <w:gridAfter w:val="1"/>
          <w:wAfter w:w="10" w:type="dxa"/>
          <w:trHeight w:val="142"/>
        </w:trPr>
        <w:tc>
          <w:tcPr>
            <w:tcW w:w="3112" w:type="dxa"/>
            <w:gridSpan w:val="4"/>
            <w:vMerge/>
            <w:shd w:val="clear" w:color="auto" w:fill="FFFFFF"/>
          </w:tcPr>
          <w:p w:rsidR="0057668E" w:rsidRPr="00843F77" w:rsidRDefault="0057668E" w:rsidP="00A52ADB">
            <w:pPr>
              <w:spacing w:before="40" w:after="40" w:line="240" w:lineRule="auto"/>
              <w:rPr>
                <w:rFonts w:ascii="Times New Roman" w:hAnsi="Times New Roman"/>
                <w:i/>
                <w:color w:val="000000"/>
                <w:sz w:val="21"/>
                <w:szCs w:val="21"/>
              </w:rPr>
            </w:pPr>
          </w:p>
        </w:tc>
        <w:tc>
          <w:tcPr>
            <w:tcW w:w="716" w:type="dxa"/>
            <w:gridSpan w:val="2"/>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0</w:t>
            </w:r>
          </w:p>
        </w:tc>
        <w:tc>
          <w:tcPr>
            <w:tcW w:w="567" w:type="dxa"/>
            <w:gridSpan w:val="2"/>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1</w:t>
            </w:r>
          </w:p>
        </w:tc>
        <w:tc>
          <w:tcPr>
            <w:tcW w:w="563" w:type="dxa"/>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2</w:t>
            </w:r>
          </w:p>
        </w:tc>
        <w:tc>
          <w:tcPr>
            <w:tcW w:w="567" w:type="dxa"/>
            <w:gridSpan w:val="2"/>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3</w:t>
            </w:r>
          </w:p>
        </w:tc>
        <w:tc>
          <w:tcPr>
            <w:tcW w:w="567" w:type="dxa"/>
            <w:gridSpan w:val="2"/>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4</w:t>
            </w:r>
          </w:p>
        </w:tc>
        <w:tc>
          <w:tcPr>
            <w:tcW w:w="567" w:type="dxa"/>
            <w:gridSpan w:val="2"/>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5</w:t>
            </w:r>
          </w:p>
        </w:tc>
        <w:tc>
          <w:tcPr>
            <w:tcW w:w="568" w:type="dxa"/>
            <w:gridSpan w:val="2"/>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6</w:t>
            </w:r>
          </w:p>
        </w:tc>
        <w:tc>
          <w:tcPr>
            <w:tcW w:w="567" w:type="dxa"/>
            <w:gridSpan w:val="2"/>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7</w:t>
            </w:r>
          </w:p>
        </w:tc>
        <w:tc>
          <w:tcPr>
            <w:tcW w:w="567" w:type="dxa"/>
            <w:gridSpan w:val="2"/>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8</w:t>
            </w:r>
          </w:p>
        </w:tc>
        <w:tc>
          <w:tcPr>
            <w:tcW w:w="567" w:type="dxa"/>
            <w:gridSpan w:val="2"/>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9</w:t>
            </w:r>
          </w:p>
        </w:tc>
        <w:tc>
          <w:tcPr>
            <w:tcW w:w="567" w:type="dxa"/>
            <w:shd w:val="clear" w:color="auto" w:fill="FFFFFF"/>
          </w:tcPr>
          <w:p w:rsidR="0057668E" w:rsidRPr="005513E2" w:rsidRDefault="0057668E" w:rsidP="001D6A3C">
            <w:pPr>
              <w:spacing w:line="240" w:lineRule="auto"/>
              <w:jc w:val="center"/>
              <w:rPr>
                <w:rFonts w:ascii="Times New Roman" w:hAnsi="Times New Roman"/>
                <w:sz w:val="21"/>
                <w:szCs w:val="21"/>
              </w:rPr>
            </w:pPr>
            <w:r w:rsidRPr="005513E2">
              <w:rPr>
                <w:rFonts w:ascii="Times New Roman" w:hAnsi="Times New Roman"/>
                <w:sz w:val="21"/>
                <w:szCs w:val="21"/>
              </w:rPr>
              <w:t>10</w:t>
            </w:r>
          </w:p>
        </w:tc>
        <w:tc>
          <w:tcPr>
            <w:tcW w:w="1442" w:type="dxa"/>
            <w:gridSpan w:val="2"/>
            <w:shd w:val="clear" w:color="auto" w:fill="FFFFFF"/>
          </w:tcPr>
          <w:p w:rsidR="0057668E" w:rsidRPr="005513E2" w:rsidRDefault="0057668E" w:rsidP="00A52ADB">
            <w:pPr>
              <w:spacing w:before="40" w:after="40" w:line="240" w:lineRule="auto"/>
              <w:jc w:val="center"/>
              <w:rPr>
                <w:rFonts w:ascii="Times New Roman" w:hAnsi="Times New Roman"/>
                <w:i/>
                <w:spacing w:val="-2"/>
                <w:sz w:val="21"/>
                <w:szCs w:val="21"/>
              </w:rPr>
            </w:pPr>
            <w:r w:rsidRPr="005513E2">
              <w:rPr>
                <w:rFonts w:ascii="Times New Roman" w:hAnsi="Times New Roman"/>
                <w:i/>
                <w:spacing w:val="-2"/>
                <w:sz w:val="21"/>
                <w:szCs w:val="21"/>
              </w:rPr>
              <w:t>Łącznie</w:t>
            </w:r>
            <w:r w:rsidR="00CF5F4F" w:rsidRPr="005513E2">
              <w:rPr>
                <w:rFonts w:ascii="Times New Roman" w:hAnsi="Times New Roman"/>
                <w:i/>
                <w:spacing w:val="-2"/>
                <w:sz w:val="21"/>
                <w:szCs w:val="21"/>
              </w:rPr>
              <w:t xml:space="preserve"> (0-10)</w:t>
            </w:r>
          </w:p>
        </w:tc>
      </w:tr>
      <w:tr w:rsidR="00C730C8" w:rsidRPr="00A13566" w:rsidTr="001112D5">
        <w:trPr>
          <w:trHeight w:val="321"/>
        </w:trPr>
        <w:tc>
          <w:tcPr>
            <w:tcW w:w="3112" w:type="dxa"/>
            <w:gridSpan w:val="4"/>
            <w:shd w:val="clear" w:color="auto" w:fill="FFFFFF"/>
            <w:vAlign w:val="center"/>
          </w:tcPr>
          <w:p w:rsidR="00C730C8" w:rsidRPr="00A13566" w:rsidRDefault="00C730C8" w:rsidP="00C730C8">
            <w:pPr>
              <w:spacing w:line="240" w:lineRule="auto"/>
              <w:rPr>
                <w:rFonts w:ascii="Times New Roman" w:hAnsi="Times New Roman"/>
                <w:color w:val="000000"/>
                <w:sz w:val="18"/>
                <w:szCs w:val="18"/>
              </w:rPr>
            </w:pPr>
            <w:r w:rsidRPr="00A13566">
              <w:rPr>
                <w:rFonts w:ascii="Times New Roman" w:hAnsi="Times New Roman"/>
                <w:b/>
                <w:color w:val="000000"/>
                <w:sz w:val="18"/>
                <w:szCs w:val="18"/>
              </w:rPr>
              <w:t>Dochody ogółem</w:t>
            </w:r>
          </w:p>
        </w:tc>
        <w:tc>
          <w:tcPr>
            <w:tcW w:w="716" w:type="dxa"/>
            <w:gridSpan w:val="2"/>
            <w:shd w:val="clear" w:color="auto" w:fill="FFFFFF"/>
          </w:tcPr>
          <w:p w:rsidR="00C730C8" w:rsidRPr="005513E2" w:rsidRDefault="00113BE2" w:rsidP="00C730C8">
            <w:pPr>
              <w:spacing w:line="240" w:lineRule="auto"/>
              <w:rPr>
                <w:rFonts w:ascii="Times New Roman" w:hAnsi="Times New Roman"/>
                <w:b/>
                <w:sz w:val="18"/>
                <w:szCs w:val="18"/>
              </w:rPr>
            </w:pPr>
            <w:r w:rsidRPr="005513E2">
              <w:rPr>
                <w:rFonts w:ascii="Times New Roman" w:hAnsi="Times New Roman"/>
                <w:b/>
                <w:sz w:val="18"/>
                <w:szCs w:val="18"/>
              </w:rPr>
              <w:t>0,34</w:t>
            </w:r>
          </w:p>
        </w:tc>
        <w:tc>
          <w:tcPr>
            <w:tcW w:w="567" w:type="dxa"/>
            <w:gridSpan w:val="2"/>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563" w:type="dxa"/>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567" w:type="dxa"/>
            <w:gridSpan w:val="2"/>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567" w:type="dxa"/>
            <w:gridSpan w:val="2"/>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567" w:type="dxa"/>
            <w:gridSpan w:val="2"/>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568" w:type="dxa"/>
            <w:gridSpan w:val="2"/>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567" w:type="dxa"/>
            <w:gridSpan w:val="2"/>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567" w:type="dxa"/>
            <w:gridSpan w:val="2"/>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567" w:type="dxa"/>
            <w:gridSpan w:val="2"/>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567" w:type="dxa"/>
            <w:shd w:val="clear" w:color="auto" w:fill="FFFFFF"/>
          </w:tcPr>
          <w:p w:rsidR="00C730C8" w:rsidRPr="005513E2" w:rsidRDefault="00C730C8" w:rsidP="00C730C8">
            <w:pPr>
              <w:spacing w:line="240" w:lineRule="auto"/>
              <w:rPr>
                <w:rFonts w:ascii="Times New Roman" w:hAnsi="Times New Roman"/>
                <w:b/>
                <w:sz w:val="18"/>
                <w:szCs w:val="18"/>
              </w:rPr>
            </w:pPr>
            <w:r w:rsidRPr="005513E2">
              <w:rPr>
                <w:rFonts w:ascii="Times New Roman" w:hAnsi="Times New Roman"/>
                <w:b/>
                <w:sz w:val="18"/>
                <w:szCs w:val="18"/>
              </w:rPr>
              <w:t>1,01</w:t>
            </w:r>
          </w:p>
        </w:tc>
        <w:tc>
          <w:tcPr>
            <w:tcW w:w="1452" w:type="dxa"/>
            <w:gridSpan w:val="3"/>
            <w:shd w:val="clear" w:color="auto" w:fill="FFFFFF"/>
          </w:tcPr>
          <w:p w:rsidR="00C730C8" w:rsidRPr="005513E2" w:rsidRDefault="00DE0CD1" w:rsidP="00C730C8">
            <w:pPr>
              <w:spacing w:line="240" w:lineRule="auto"/>
              <w:rPr>
                <w:rFonts w:ascii="Times New Roman" w:hAnsi="Times New Roman"/>
                <w:b/>
                <w:spacing w:val="-2"/>
                <w:sz w:val="18"/>
                <w:szCs w:val="18"/>
              </w:rPr>
            </w:pPr>
            <w:r w:rsidRPr="005513E2">
              <w:rPr>
                <w:rFonts w:ascii="Times New Roman" w:hAnsi="Times New Roman"/>
                <w:b/>
                <w:spacing w:val="-2"/>
                <w:sz w:val="18"/>
                <w:szCs w:val="18"/>
              </w:rPr>
              <w:t>10,44</w:t>
            </w:r>
          </w:p>
        </w:tc>
      </w:tr>
      <w:tr w:rsidR="00113BE2" w:rsidRPr="00A13566" w:rsidTr="001112D5">
        <w:trPr>
          <w:trHeight w:val="321"/>
        </w:trPr>
        <w:tc>
          <w:tcPr>
            <w:tcW w:w="3112" w:type="dxa"/>
            <w:gridSpan w:val="4"/>
            <w:shd w:val="clear" w:color="auto" w:fill="FFFFFF"/>
            <w:vAlign w:val="center"/>
          </w:tcPr>
          <w:p w:rsidR="00113BE2" w:rsidRDefault="00113BE2" w:rsidP="00113BE2">
            <w:pPr>
              <w:spacing w:line="240" w:lineRule="auto"/>
              <w:rPr>
                <w:rFonts w:ascii="Times New Roman" w:hAnsi="Times New Roman"/>
                <w:color w:val="000000"/>
                <w:sz w:val="18"/>
                <w:szCs w:val="18"/>
                <w:u w:val="single"/>
              </w:rPr>
            </w:pPr>
            <w:r>
              <w:rPr>
                <w:rFonts w:ascii="Times New Roman" w:hAnsi="Times New Roman"/>
                <w:color w:val="000000"/>
                <w:sz w:val="18"/>
                <w:szCs w:val="18"/>
                <w:u w:val="single"/>
              </w:rPr>
              <w:t>Budżet państwa</w:t>
            </w:r>
          </w:p>
          <w:p w:rsidR="00113BE2" w:rsidRPr="00C730C8" w:rsidRDefault="00113BE2" w:rsidP="00113BE2">
            <w:pPr>
              <w:spacing w:line="240" w:lineRule="auto"/>
              <w:rPr>
                <w:rFonts w:ascii="Times New Roman" w:hAnsi="Times New Roman"/>
                <w:color w:val="000000"/>
                <w:sz w:val="18"/>
                <w:szCs w:val="18"/>
              </w:rPr>
            </w:pPr>
            <w:r w:rsidRPr="00C730C8">
              <w:rPr>
                <w:rFonts w:ascii="Times New Roman" w:hAnsi="Times New Roman"/>
                <w:color w:val="000000"/>
                <w:sz w:val="18"/>
                <w:szCs w:val="18"/>
              </w:rPr>
              <w:t>PIT</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0,027</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1452" w:type="dxa"/>
            <w:gridSpan w:val="3"/>
            <w:shd w:val="clear" w:color="auto" w:fill="FFFFFF"/>
          </w:tcPr>
          <w:p w:rsidR="00113BE2" w:rsidRPr="005513E2" w:rsidRDefault="00DE0CD1" w:rsidP="00113BE2">
            <w:pPr>
              <w:spacing w:line="240" w:lineRule="auto"/>
              <w:rPr>
                <w:rFonts w:ascii="Times New Roman" w:hAnsi="Times New Roman"/>
                <w:spacing w:val="-2"/>
                <w:sz w:val="18"/>
                <w:szCs w:val="18"/>
              </w:rPr>
            </w:pPr>
            <w:r w:rsidRPr="005513E2">
              <w:rPr>
                <w:rFonts w:ascii="Times New Roman" w:hAnsi="Times New Roman"/>
                <w:spacing w:val="-2"/>
                <w:sz w:val="18"/>
                <w:szCs w:val="18"/>
              </w:rPr>
              <w:t>0,827</w:t>
            </w:r>
          </w:p>
        </w:tc>
      </w:tr>
      <w:tr w:rsidR="00113BE2" w:rsidRPr="00A13566" w:rsidTr="001112D5">
        <w:trPr>
          <w:trHeight w:val="1173"/>
        </w:trPr>
        <w:tc>
          <w:tcPr>
            <w:tcW w:w="3112" w:type="dxa"/>
            <w:gridSpan w:val="4"/>
            <w:shd w:val="clear" w:color="auto" w:fill="FFFFFF"/>
            <w:vAlign w:val="center"/>
          </w:tcPr>
          <w:p w:rsidR="00113BE2" w:rsidRPr="00D71781" w:rsidRDefault="00113BE2" w:rsidP="00113BE2">
            <w:pPr>
              <w:spacing w:line="240" w:lineRule="auto"/>
              <w:rPr>
                <w:rFonts w:ascii="Times New Roman" w:hAnsi="Times New Roman"/>
                <w:color w:val="000000"/>
                <w:sz w:val="18"/>
                <w:szCs w:val="18"/>
                <w:u w:val="single"/>
              </w:rPr>
            </w:pPr>
            <w:r>
              <w:rPr>
                <w:rFonts w:ascii="Times New Roman" w:hAnsi="Times New Roman"/>
                <w:color w:val="000000"/>
                <w:sz w:val="18"/>
                <w:szCs w:val="18"/>
                <w:u w:val="single"/>
              </w:rPr>
              <w:t>Fundusz Ubezpieczeń Społecznych</w:t>
            </w:r>
          </w:p>
          <w:p w:rsidR="00113BE2" w:rsidRPr="00A13566" w:rsidRDefault="00113BE2" w:rsidP="00113BE2">
            <w:pPr>
              <w:spacing w:line="240" w:lineRule="auto"/>
              <w:rPr>
                <w:rFonts w:ascii="Times New Roman" w:hAnsi="Times New Roman"/>
                <w:color w:val="000000"/>
                <w:sz w:val="18"/>
                <w:szCs w:val="18"/>
              </w:rPr>
            </w:pPr>
            <w:r>
              <w:rPr>
                <w:rFonts w:ascii="Times New Roman" w:hAnsi="Times New Roman"/>
                <w:color w:val="000000"/>
                <w:sz w:val="18"/>
                <w:szCs w:val="18"/>
              </w:rPr>
              <w:t>składki na ubezpieczenie społeczne, w tym emerytalne, rentowe, chorobowe i wypadkowe w części płaconej przez pracownika i pracodawcę</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0,21</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1452" w:type="dxa"/>
            <w:gridSpan w:val="3"/>
            <w:shd w:val="clear" w:color="auto" w:fill="FFFFFF"/>
          </w:tcPr>
          <w:p w:rsidR="00113BE2" w:rsidRPr="005513E2" w:rsidRDefault="00DE0CD1" w:rsidP="00113BE2">
            <w:pPr>
              <w:spacing w:line="240" w:lineRule="auto"/>
              <w:rPr>
                <w:rFonts w:ascii="Times New Roman" w:hAnsi="Times New Roman"/>
                <w:spacing w:val="-2"/>
                <w:sz w:val="18"/>
                <w:szCs w:val="18"/>
              </w:rPr>
            </w:pPr>
            <w:r w:rsidRPr="005513E2">
              <w:rPr>
                <w:rFonts w:ascii="Times New Roman" w:hAnsi="Times New Roman"/>
                <w:spacing w:val="-2"/>
                <w:sz w:val="18"/>
                <w:szCs w:val="18"/>
              </w:rPr>
              <w:t>6,61</w:t>
            </w:r>
          </w:p>
        </w:tc>
      </w:tr>
      <w:tr w:rsidR="00113BE2" w:rsidRPr="00A13566" w:rsidTr="001112D5">
        <w:trPr>
          <w:trHeight w:val="344"/>
        </w:trPr>
        <w:tc>
          <w:tcPr>
            <w:tcW w:w="3112" w:type="dxa"/>
            <w:gridSpan w:val="4"/>
            <w:shd w:val="clear" w:color="auto" w:fill="FFFFFF"/>
            <w:vAlign w:val="center"/>
          </w:tcPr>
          <w:p w:rsidR="00113BE2" w:rsidRPr="00C730C8" w:rsidRDefault="00113BE2" w:rsidP="00113BE2">
            <w:pPr>
              <w:spacing w:line="240" w:lineRule="auto"/>
              <w:rPr>
                <w:rFonts w:ascii="Times New Roman" w:hAnsi="Times New Roman"/>
                <w:color w:val="000000"/>
                <w:sz w:val="18"/>
                <w:szCs w:val="18"/>
                <w:u w:val="single"/>
              </w:rPr>
            </w:pPr>
            <w:r w:rsidRPr="00C730C8">
              <w:rPr>
                <w:rFonts w:ascii="Times New Roman" w:hAnsi="Times New Roman"/>
                <w:color w:val="000000"/>
                <w:sz w:val="18"/>
                <w:szCs w:val="18"/>
                <w:u w:val="single"/>
              </w:rPr>
              <w:t>Fundusz Pracy</w:t>
            </w:r>
          </w:p>
          <w:p w:rsidR="00113BE2" w:rsidRPr="00A13566" w:rsidRDefault="00113BE2" w:rsidP="00113BE2">
            <w:pPr>
              <w:spacing w:line="240" w:lineRule="auto"/>
              <w:rPr>
                <w:rFonts w:ascii="Times New Roman" w:hAnsi="Times New Roman"/>
                <w:color w:val="000000"/>
                <w:sz w:val="18"/>
                <w:szCs w:val="18"/>
              </w:rPr>
            </w:pPr>
            <w:r>
              <w:rPr>
                <w:rFonts w:ascii="Times New Roman" w:hAnsi="Times New Roman"/>
                <w:color w:val="000000"/>
                <w:sz w:val="18"/>
                <w:szCs w:val="18"/>
              </w:rPr>
              <w:t>składki na FP</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0,017</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1452" w:type="dxa"/>
            <w:gridSpan w:val="3"/>
            <w:shd w:val="clear" w:color="auto" w:fill="FFFFFF"/>
          </w:tcPr>
          <w:p w:rsidR="00113BE2" w:rsidRPr="005513E2" w:rsidRDefault="00DE0CD1" w:rsidP="00113BE2">
            <w:pPr>
              <w:spacing w:line="240" w:lineRule="auto"/>
              <w:rPr>
                <w:rFonts w:ascii="Times New Roman" w:hAnsi="Times New Roman"/>
                <w:sz w:val="18"/>
                <w:szCs w:val="18"/>
              </w:rPr>
            </w:pPr>
            <w:r w:rsidRPr="005513E2">
              <w:rPr>
                <w:rFonts w:ascii="Times New Roman" w:hAnsi="Times New Roman"/>
                <w:sz w:val="18"/>
                <w:szCs w:val="18"/>
              </w:rPr>
              <w:t>0,517</w:t>
            </w:r>
          </w:p>
        </w:tc>
      </w:tr>
      <w:tr w:rsidR="00113BE2" w:rsidRPr="00A13566" w:rsidTr="001112D5">
        <w:trPr>
          <w:trHeight w:val="344"/>
        </w:trPr>
        <w:tc>
          <w:tcPr>
            <w:tcW w:w="3112" w:type="dxa"/>
            <w:gridSpan w:val="4"/>
            <w:shd w:val="clear" w:color="auto" w:fill="FFFFFF"/>
            <w:vAlign w:val="center"/>
          </w:tcPr>
          <w:p w:rsidR="00113BE2" w:rsidRPr="00C730C8" w:rsidRDefault="00113BE2" w:rsidP="00113BE2">
            <w:pPr>
              <w:spacing w:line="240" w:lineRule="auto"/>
              <w:rPr>
                <w:rFonts w:ascii="Times New Roman" w:hAnsi="Times New Roman"/>
                <w:color w:val="000000"/>
                <w:sz w:val="18"/>
                <w:szCs w:val="18"/>
                <w:u w:val="single"/>
              </w:rPr>
            </w:pPr>
            <w:r w:rsidRPr="00C730C8">
              <w:rPr>
                <w:rFonts w:ascii="Times New Roman" w:hAnsi="Times New Roman"/>
                <w:color w:val="000000"/>
                <w:sz w:val="18"/>
                <w:szCs w:val="18"/>
                <w:u w:val="single"/>
              </w:rPr>
              <w:t>Fundusz Gwarantowanych Świadczeń Pracowniczych</w:t>
            </w:r>
          </w:p>
          <w:p w:rsidR="00113BE2" w:rsidRPr="00A13566" w:rsidRDefault="00113BE2" w:rsidP="00113BE2">
            <w:pPr>
              <w:spacing w:line="240" w:lineRule="auto"/>
              <w:rPr>
                <w:rFonts w:ascii="Times New Roman" w:hAnsi="Times New Roman"/>
                <w:color w:val="000000"/>
                <w:sz w:val="18"/>
                <w:szCs w:val="18"/>
              </w:rPr>
            </w:pPr>
            <w:r>
              <w:rPr>
                <w:rFonts w:ascii="Times New Roman" w:hAnsi="Times New Roman"/>
                <w:color w:val="000000"/>
                <w:sz w:val="18"/>
                <w:szCs w:val="18"/>
              </w:rPr>
              <w:t>składki na FGŚP</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0,000</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3" w:type="dxa"/>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8"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1452" w:type="dxa"/>
            <w:gridSpan w:val="3"/>
            <w:shd w:val="clear" w:color="auto" w:fill="FFFFFF"/>
          </w:tcPr>
          <w:p w:rsidR="00113BE2" w:rsidRPr="005513E2" w:rsidRDefault="00DE0CD1" w:rsidP="00113BE2">
            <w:pPr>
              <w:spacing w:line="240" w:lineRule="auto"/>
              <w:rPr>
                <w:rFonts w:ascii="Times New Roman" w:hAnsi="Times New Roman"/>
                <w:sz w:val="18"/>
                <w:szCs w:val="18"/>
              </w:rPr>
            </w:pPr>
            <w:r w:rsidRPr="005513E2">
              <w:rPr>
                <w:rFonts w:ascii="Times New Roman" w:hAnsi="Times New Roman"/>
                <w:sz w:val="18"/>
                <w:szCs w:val="18"/>
              </w:rPr>
              <w:t>0,02</w:t>
            </w:r>
          </w:p>
        </w:tc>
      </w:tr>
      <w:tr w:rsidR="00113BE2" w:rsidRPr="00A13566" w:rsidTr="001112D5">
        <w:trPr>
          <w:trHeight w:val="344"/>
        </w:trPr>
        <w:tc>
          <w:tcPr>
            <w:tcW w:w="3112" w:type="dxa"/>
            <w:gridSpan w:val="4"/>
            <w:shd w:val="clear" w:color="auto" w:fill="FFFFFF"/>
            <w:vAlign w:val="center"/>
          </w:tcPr>
          <w:p w:rsidR="00113BE2" w:rsidRPr="00C730C8" w:rsidRDefault="00113BE2" w:rsidP="00113BE2">
            <w:pPr>
              <w:spacing w:line="240" w:lineRule="auto"/>
              <w:rPr>
                <w:rFonts w:ascii="Times New Roman" w:hAnsi="Times New Roman"/>
                <w:color w:val="000000"/>
                <w:sz w:val="18"/>
                <w:szCs w:val="18"/>
                <w:u w:val="single"/>
              </w:rPr>
            </w:pPr>
            <w:r w:rsidRPr="00C730C8">
              <w:rPr>
                <w:rFonts w:ascii="Times New Roman" w:hAnsi="Times New Roman"/>
                <w:color w:val="000000"/>
                <w:sz w:val="18"/>
                <w:szCs w:val="18"/>
                <w:u w:val="single"/>
              </w:rPr>
              <w:t>Narodowy Fundusz Zdrowia</w:t>
            </w:r>
          </w:p>
          <w:p w:rsidR="00113BE2" w:rsidRPr="00A13566" w:rsidRDefault="00113BE2" w:rsidP="00113BE2">
            <w:pPr>
              <w:spacing w:line="240" w:lineRule="auto"/>
              <w:rPr>
                <w:rFonts w:ascii="Times New Roman" w:hAnsi="Times New Roman"/>
                <w:color w:val="000000"/>
                <w:sz w:val="18"/>
                <w:szCs w:val="18"/>
              </w:rPr>
            </w:pPr>
            <w:r>
              <w:rPr>
                <w:rFonts w:ascii="Times New Roman" w:hAnsi="Times New Roman"/>
                <w:color w:val="000000"/>
                <w:sz w:val="18"/>
                <w:szCs w:val="18"/>
              </w:rPr>
              <w:t xml:space="preserve">składki ubezpieczenia zdrowotnego </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0,053</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1452" w:type="dxa"/>
            <w:gridSpan w:val="3"/>
            <w:shd w:val="clear" w:color="auto" w:fill="FFFFFF"/>
          </w:tcPr>
          <w:p w:rsidR="00113BE2" w:rsidRPr="005513E2" w:rsidRDefault="00DE0CD1" w:rsidP="00113BE2">
            <w:pPr>
              <w:spacing w:line="240" w:lineRule="auto"/>
              <w:rPr>
                <w:rFonts w:ascii="Times New Roman" w:hAnsi="Times New Roman"/>
                <w:sz w:val="18"/>
                <w:szCs w:val="18"/>
              </w:rPr>
            </w:pPr>
            <w:r w:rsidRPr="005513E2">
              <w:rPr>
                <w:rFonts w:ascii="Times New Roman" w:hAnsi="Times New Roman"/>
                <w:sz w:val="18"/>
                <w:szCs w:val="18"/>
              </w:rPr>
              <w:t>1,653</w:t>
            </w:r>
          </w:p>
        </w:tc>
      </w:tr>
      <w:tr w:rsidR="00113BE2" w:rsidRPr="00A13566" w:rsidTr="001112D5">
        <w:trPr>
          <w:trHeight w:val="344"/>
        </w:trPr>
        <w:tc>
          <w:tcPr>
            <w:tcW w:w="3112" w:type="dxa"/>
            <w:gridSpan w:val="4"/>
            <w:shd w:val="clear" w:color="auto" w:fill="FFFFFF"/>
            <w:vAlign w:val="center"/>
          </w:tcPr>
          <w:p w:rsidR="00113BE2" w:rsidRPr="00C730C8" w:rsidRDefault="00113BE2" w:rsidP="00113BE2">
            <w:pPr>
              <w:spacing w:line="240" w:lineRule="auto"/>
              <w:rPr>
                <w:rFonts w:ascii="Times New Roman" w:hAnsi="Times New Roman"/>
                <w:color w:val="000000"/>
                <w:sz w:val="18"/>
                <w:szCs w:val="18"/>
                <w:u w:val="single"/>
              </w:rPr>
            </w:pPr>
            <w:r w:rsidRPr="00C730C8">
              <w:rPr>
                <w:rFonts w:ascii="Times New Roman" w:hAnsi="Times New Roman"/>
                <w:color w:val="000000"/>
                <w:sz w:val="18"/>
                <w:szCs w:val="18"/>
                <w:u w:val="single"/>
              </w:rPr>
              <w:t>JST</w:t>
            </w:r>
          </w:p>
          <w:p w:rsidR="00113BE2" w:rsidRPr="00A13566" w:rsidRDefault="00113BE2" w:rsidP="00113BE2">
            <w:pPr>
              <w:spacing w:line="240" w:lineRule="auto"/>
              <w:rPr>
                <w:rFonts w:ascii="Times New Roman" w:hAnsi="Times New Roman"/>
                <w:color w:val="000000"/>
                <w:sz w:val="18"/>
                <w:szCs w:val="18"/>
              </w:rPr>
            </w:pPr>
            <w:r>
              <w:rPr>
                <w:rFonts w:ascii="Times New Roman" w:hAnsi="Times New Roman"/>
                <w:color w:val="000000"/>
                <w:sz w:val="18"/>
                <w:szCs w:val="18"/>
              </w:rPr>
              <w:t>udział JST w PIT</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0,027</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1452" w:type="dxa"/>
            <w:gridSpan w:val="3"/>
            <w:shd w:val="clear" w:color="auto" w:fill="FFFFFF"/>
          </w:tcPr>
          <w:p w:rsidR="00113BE2" w:rsidRPr="005513E2" w:rsidRDefault="008F7E30" w:rsidP="00113BE2">
            <w:pPr>
              <w:spacing w:line="240" w:lineRule="auto"/>
              <w:rPr>
                <w:rFonts w:ascii="Times New Roman" w:hAnsi="Times New Roman"/>
                <w:sz w:val="18"/>
                <w:szCs w:val="18"/>
              </w:rPr>
            </w:pPr>
            <w:r w:rsidRPr="005513E2">
              <w:rPr>
                <w:rFonts w:ascii="Times New Roman" w:hAnsi="Times New Roman"/>
                <w:sz w:val="18"/>
                <w:szCs w:val="18"/>
              </w:rPr>
              <w:t>0,827</w:t>
            </w:r>
          </w:p>
        </w:tc>
      </w:tr>
      <w:tr w:rsidR="00D71781" w:rsidRPr="00A13566" w:rsidTr="001112D5">
        <w:trPr>
          <w:trHeight w:val="344"/>
        </w:trPr>
        <w:tc>
          <w:tcPr>
            <w:tcW w:w="3112" w:type="dxa"/>
            <w:gridSpan w:val="4"/>
            <w:shd w:val="clear" w:color="auto" w:fill="FFFFFF"/>
            <w:vAlign w:val="center"/>
          </w:tcPr>
          <w:p w:rsidR="00D71781" w:rsidRPr="00A13566" w:rsidRDefault="00D71781" w:rsidP="00D71781">
            <w:pPr>
              <w:spacing w:line="240" w:lineRule="auto"/>
              <w:rPr>
                <w:rFonts w:ascii="Times New Roman" w:hAnsi="Times New Roman"/>
                <w:color w:val="000000"/>
                <w:sz w:val="18"/>
                <w:szCs w:val="18"/>
              </w:rPr>
            </w:pPr>
            <w:r w:rsidRPr="00A13566">
              <w:rPr>
                <w:rFonts w:ascii="Times New Roman" w:hAnsi="Times New Roman"/>
                <w:color w:val="000000"/>
                <w:sz w:val="18"/>
                <w:szCs w:val="18"/>
              </w:rPr>
              <w:t>pozostałe jednostki (oddzielnie)</w:t>
            </w:r>
          </w:p>
        </w:tc>
        <w:tc>
          <w:tcPr>
            <w:tcW w:w="716"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3" w:type="dxa"/>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8"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shd w:val="clear" w:color="auto" w:fill="FFFFFF"/>
          </w:tcPr>
          <w:p w:rsidR="00D71781" w:rsidRPr="005513E2" w:rsidRDefault="00D71781" w:rsidP="00D71781">
            <w:pPr>
              <w:spacing w:line="240" w:lineRule="auto"/>
              <w:rPr>
                <w:rFonts w:ascii="Times New Roman" w:hAnsi="Times New Roman"/>
                <w:sz w:val="18"/>
                <w:szCs w:val="18"/>
              </w:rPr>
            </w:pPr>
          </w:p>
        </w:tc>
        <w:tc>
          <w:tcPr>
            <w:tcW w:w="1452" w:type="dxa"/>
            <w:gridSpan w:val="3"/>
            <w:shd w:val="clear" w:color="auto" w:fill="FFFFFF"/>
          </w:tcPr>
          <w:p w:rsidR="00D71781" w:rsidRPr="005513E2" w:rsidRDefault="00D71781" w:rsidP="00D71781">
            <w:pPr>
              <w:spacing w:line="240" w:lineRule="auto"/>
              <w:rPr>
                <w:rFonts w:ascii="Times New Roman" w:hAnsi="Times New Roman"/>
                <w:sz w:val="18"/>
                <w:szCs w:val="18"/>
              </w:rPr>
            </w:pPr>
          </w:p>
        </w:tc>
      </w:tr>
      <w:tr w:rsidR="00D71781" w:rsidRPr="00A13566" w:rsidTr="001112D5">
        <w:trPr>
          <w:trHeight w:val="428"/>
        </w:trPr>
        <w:tc>
          <w:tcPr>
            <w:tcW w:w="3112" w:type="dxa"/>
            <w:gridSpan w:val="4"/>
            <w:shd w:val="clear" w:color="auto" w:fill="FFFFFF"/>
            <w:vAlign w:val="center"/>
          </w:tcPr>
          <w:p w:rsidR="00D71781" w:rsidRPr="00A13566" w:rsidRDefault="00D71781" w:rsidP="00D71781">
            <w:pPr>
              <w:spacing w:line="240" w:lineRule="auto"/>
              <w:rPr>
                <w:rFonts w:ascii="Times New Roman" w:hAnsi="Times New Roman"/>
                <w:color w:val="000000"/>
                <w:sz w:val="18"/>
                <w:szCs w:val="18"/>
              </w:rPr>
            </w:pPr>
            <w:r w:rsidRPr="00A13566">
              <w:rPr>
                <w:rFonts w:ascii="Times New Roman" w:hAnsi="Times New Roman"/>
                <w:b/>
                <w:color w:val="000000"/>
                <w:sz w:val="18"/>
                <w:szCs w:val="18"/>
              </w:rPr>
              <w:t>Wydatki ogółem</w:t>
            </w:r>
          </w:p>
        </w:tc>
        <w:tc>
          <w:tcPr>
            <w:tcW w:w="716" w:type="dxa"/>
            <w:gridSpan w:val="2"/>
            <w:shd w:val="clear" w:color="auto" w:fill="FFFFFF"/>
          </w:tcPr>
          <w:p w:rsidR="00D71781" w:rsidRPr="005513E2" w:rsidRDefault="00600CFE" w:rsidP="00FB7EC6">
            <w:pPr>
              <w:spacing w:line="240" w:lineRule="auto"/>
              <w:rPr>
                <w:rFonts w:ascii="Times New Roman" w:hAnsi="Times New Roman"/>
                <w:b/>
                <w:sz w:val="18"/>
                <w:szCs w:val="18"/>
              </w:rPr>
            </w:pPr>
            <w:r w:rsidRPr="005513E2">
              <w:rPr>
                <w:rFonts w:ascii="Times New Roman" w:hAnsi="Times New Roman"/>
                <w:b/>
                <w:sz w:val="18"/>
                <w:szCs w:val="18"/>
              </w:rPr>
              <w:t>1,3</w:t>
            </w:r>
            <w:r w:rsidR="00FB7EC6" w:rsidRPr="005513E2">
              <w:rPr>
                <w:rFonts w:ascii="Times New Roman" w:hAnsi="Times New Roman"/>
                <w:b/>
                <w:sz w:val="18"/>
                <w:szCs w:val="18"/>
              </w:rPr>
              <w:t>8</w:t>
            </w:r>
          </w:p>
        </w:tc>
        <w:tc>
          <w:tcPr>
            <w:tcW w:w="567" w:type="dxa"/>
            <w:gridSpan w:val="2"/>
            <w:shd w:val="clear" w:color="auto" w:fill="FFFFFF"/>
          </w:tcPr>
          <w:p w:rsidR="00D71781" w:rsidRPr="005513E2" w:rsidRDefault="00D71781" w:rsidP="00FB7EC6">
            <w:pPr>
              <w:rPr>
                <w:rFonts w:ascii="Times New Roman" w:hAnsi="Times New Roman"/>
                <w:b/>
                <w:sz w:val="18"/>
                <w:szCs w:val="18"/>
              </w:rPr>
            </w:pPr>
            <w:r w:rsidRPr="005513E2">
              <w:rPr>
                <w:rFonts w:ascii="Times New Roman" w:hAnsi="Times New Roman"/>
                <w:b/>
                <w:sz w:val="18"/>
                <w:szCs w:val="18"/>
              </w:rPr>
              <w:t>3,5</w:t>
            </w:r>
            <w:r w:rsidR="0085338C" w:rsidRPr="005513E2">
              <w:rPr>
                <w:rFonts w:ascii="Times New Roman" w:hAnsi="Times New Roman"/>
                <w:b/>
                <w:sz w:val="18"/>
                <w:szCs w:val="18"/>
              </w:rPr>
              <w:t>0</w:t>
            </w:r>
          </w:p>
        </w:tc>
        <w:tc>
          <w:tcPr>
            <w:tcW w:w="563" w:type="dxa"/>
            <w:shd w:val="clear" w:color="auto" w:fill="FFFFFF"/>
          </w:tcPr>
          <w:p w:rsidR="00D71781" w:rsidRPr="005513E2" w:rsidRDefault="003F2D50" w:rsidP="00FB7EC6">
            <w:pPr>
              <w:rPr>
                <w:rFonts w:ascii="Times New Roman" w:hAnsi="Times New Roman"/>
                <w:b/>
                <w:sz w:val="18"/>
                <w:szCs w:val="18"/>
              </w:rPr>
            </w:pPr>
            <w:r w:rsidRPr="005513E2">
              <w:rPr>
                <w:rFonts w:ascii="Times New Roman" w:hAnsi="Times New Roman"/>
                <w:b/>
                <w:sz w:val="18"/>
                <w:szCs w:val="18"/>
              </w:rPr>
              <w:t>3,</w:t>
            </w:r>
            <w:r w:rsidR="0085338C" w:rsidRPr="005513E2">
              <w:rPr>
                <w:rFonts w:ascii="Times New Roman" w:hAnsi="Times New Roman"/>
                <w:b/>
                <w:sz w:val="18"/>
                <w:szCs w:val="18"/>
              </w:rPr>
              <w:t>60</w:t>
            </w:r>
          </w:p>
        </w:tc>
        <w:tc>
          <w:tcPr>
            <w:tcW w:w="567" w:type="dxa"/>
            <w:gridSpan w:val="2"/>
            <w:shd w:val="clear" w:color="auto" w:fill="FFFFFF"/>
          </w:tcPr>
          <w:p w:rsidR="00D71781" w:rsidRPr="005513E2" w:rsidRDefault="003F2D50" w:rsidP="00FB7EC6">
            <w:pPr>
              <w:rPr>
                <w:rFonts w:ascii="Times New Roman" w:hAnsi="Times New Roman"/>
                <w:b/>
                <w:sz w:val="18"/>
                <w:szCs w:val="18"/>
              </w:rPr>
            </w:pPr>
            <w:r w:rsidRPr="005513E2">
              <w:rPr>
                <w:rFonts w:ascii="Times New Roman" w:hAnsi="Times New Roman"/>
                <w:b/>
                <w:sz w:val="18"/>
                <w:szCs w:val="18"/>
              </w:rPr>
              <w:t>3,</w:t>
            </w:r>
            <w:r w:rsidR="00FB7EC6" w:rsidRPr="005513E2">
              <w:rPr>
                <w:rFonts w:ascii="Times New Roman" w:hAnsi="Times New Roman"/>
                <w:b/>
                <w:sz w:val="18"/>
                <w:szCs w:val="18"/>
              </w:rPr>
              <w:t>62</w:t>
            </w:r>
          </w:p>
        </w:tc>
        <w:tc>
          <w:tcPr>
            <w:tcW w:w="567" w:type="dxa"/>
            <w:gridSpan w:val="2"/>
            <w:shd w:val="clear" w:color="auto" w:fill="FFFFFF"/>
          </w:tcPr>
          <w:p w:rsidR="00D71781" w:rsidRPr="005513E2" w:rsidRDefault="003D6D91" w:rsidP="00FB7EC6">
            <w:pPr>
              <w:rPr>
                <w:rFonts w:ascii="Times New Roman" w:hAnsi="Times New Roman"/>
                <w:b/>
                <w:sz w:val="18"/>
                <w:szCs w:val="18"/>
              </w:rPr>
            </w:pPr>
            <w:r>
              <w:rPr>
                <w:rFonts w:ascii="Times New Roman" w:hAnsi="Times New Roman"/>
                <w:b/>
                <w:sz w:val="18"/>
                <w:szCs w:val="18"/>
              </w:rPr>
              <w:t>3,75</w:t>
            </w:r>
          </w:p>
        </w:tc>
        <w:tc>
          <w:tcPr>
            <w:tcW w:w="567" w:type="dxa"/>
            <w:gridSpan w:val="2"/>
            <w:shd w:val="clear" w:color="auto" w:fill="FFFFFF"/>
          </w:tcPr>
          <w:p w:rsidR="00D71781" w:rsidRPr="005513E2" w:rsidRDefault="003F2D50" w:rsidP="00FB7EC6">
            <w:pPr>
              <w:rPr>
                <w:rFonts w:ascii="Times New Roman" w:hAnsi="Times New Roman"/>
                <w:b/>
                <w:sz w:val="18"/>
                <w:szCs w:val="18"/>
              </w:rPr>
            </w:pPr>
            <w:r w:rsidRPr="005513E2">
              <w:rPr>
                <w:rFonts w:ascii="Times New Roman" w:hAnsi="Times New Roman"/>
                <w:b/>
                <w:sz w:val="18"/>
                <w:szCs w:val="18"/>
              </w:rPr>
              <w:t>3,</w:t>
            </w:r>
            <w:r w:rsidR="0085338C" w:rsidRPr="005513E2">
              <w:rPr>
                <w:rFonts w:ascii="Times New Roman" w:hAnsi="Times New Roman"/>
                <w:b/>
                <w:sz w:val="18"/>
                <w:szCs w:val="18"/>
              </w:rPr>
              <w:t>66</w:t>
            </w:r>
          </w:p>
        </w:tc>
        <w:tc>
          <w:tcPr>
            <w:tcW w:w="568" w:type="dxa"/>
            <w:gridSpan w:val="2"/>
            <w:shd w:val="clear" w:color="auto" w:fill="FFFFFF"/>
          </w:tcPr>
          <w:p w:rsidR="00D71781" w:rsidRPr="005513E2" w:rsidRDefault="00D71781" w:rsidP="00D222FC">
            <w:pPr>
              <w:rPr>
                <w:rFonts w:ascii="Times New Roman" w:hAnsi="Times New Roman"/>
                <w:b/>
                <w:sz w:val="18"/>
                <w:szCs w:val="18"/>
              </w:rPr>
            </w:pPr>
            <w:r w:rsidRPr="005513E2">
              <w:rPr>
                <w:rFonts w:ascii="Times New Roman" w:hAnsi="Times New Roman"/>
                <w:b/>
                <w:sz w:val="18"/>
                <w:szCs w:val="18"/>
              </w:rPr>
              <w:t>3,</w:t>
            </w:r>
            <w:r w:rsidR="00FB7EC6" w:rsidRPr="005513E2">
              <w:rPr>
                <w:rFonts w:ascii="Times New Roman" w:hAnsi="Times New Roman"/>
                <w:b/>
                <w:sz w:val="18"/>
                <w:szCs w:val="18"/>
              </w:rPr>
              <w:t>6</w:t>
            </w:r>
            <w:r w:rsidR="00D222FC" w:rsidRPr="005513E2">
              <w:rPr>
                <w:rFonts w:ascii="Times New Roman" w:hAnsi="Times New Roman"/>
                <w:b/>
                <w:sz w:val="18"/>
                <w:szCs w:val="18"/>
              </w:rPr>
              <w:t>8</w:t>
            </w:r>
          </w:p>
        </w:tc>
        <w:tc>
          <w:tcPr>
            <w:tcW w:w="567" w:type="dxa"/>
            <w:gridSpan w:val="2"/>
            <w:shd w:val="clear" w:color="auto" w:fill="FFFFFF"/>
          </w:tcPr>
          <w:p w:rsidR="00D71781" w:rsidRPr="005513E2" w:rsidRDefault="00D71781" w:rsidP="00FB7EC6">
            <w:pPr>
              <w:rPr>
                <w:rFonts w:ascii="Times New Roman" w:hAnsi="Times New Roman"/>
                <w:b/>
                <w:sz w:val="18"/>
                <w:szCs w:val="18"/>
              </w:rPr>
            </w:pPr>
            <w:r w:rsidRPr="005513E2">
              <w:rPr>
                <w:rFonts w:ascii="Times New Roman" w:hAnsi="Times New Roman"/>
                <w:b/>
                <w:sz w:val="18"/>
                <w:szCs w:val="18"/>
              </w:rPr>
              <w:t>3,</w:t>
            </w:r>
            <w:r w:rsidR="00D222FC" w:rsidRPr="005513E2">
              <w:rPr>
                <w:rFonts w:ascii="Times New Roman" w:hAnsi="Times New Roman"/>
                <w:b/>
                <w:sz w:val="18"/>
                <w:szCs w:val="18"/>
              </w:rPr>
              <w:t>70</w:t>
            </w:r>
          </w:p>
        </w:tc>
        <w:tc>
          <w:tcPr>
            <w:tcW w:w="567" w:type="dxa"/>
            <w:gridSpan w:val="2"/>
            <w:shd w:val="clear" w:color="auto" w:fill="FFFFFF"/>
          </w:tcPr>
          <w:p w:rsidR="00D71781" w:rsidRPr="005513E2" w:rsidRDefault="00D71781" w:rsidP="003F2D50">
            <w:pPr>
              <w:rPr>
                <w:rFonts w:ascii="Times New Roman" w:hAnsi="Times New Roman"/>
                <w:b/>
                <w:sz w:val="18"/>
                <w:szCs w:val="18"/>
              </w:rPr>
            </w:pPr>
            <w:r w:rsidRPr="005513E2">
              <w:rPr>
                <w:rFonts w:ascii="Times New Roman" w:hAnsi="Times New Roman"/>
                <w:b/>
                <w:sz w:val="18"/>
                <w:szCs w:val="18"/>
              </w:rPr>
              <w:t>3,</w:t>
            </w:r>
            <w:r w:rsidR="003D6D91">
              <w:rPr>
                <w:rFonts w:ascii="Times New Roman" w:hAnsi="Times New Roman"/>
                <w:b/>
                <w:sz w:val="18"/>
                <w:szCs w:val="18"/>
              </w:rPr>
              <w:t>83</w:t>
            </w:r>
          </w:p>
        </w:tc>
        <w:tc>
          <w:tcPr>
            <w:tcW w:w="567" w:type="dxa"/>
            <w:gridSpan w:val="2"/>
            <w:shd w:val="clear" w:color="auto" w:fill="FFFFFF"/>
          </w:tcPr>
          <w:p w:rsidR="00D71781" w:rsidRPr="005513E2" w:rsidRDefault="003F2D50" w:rsidP="00FB7EC6">
            <w:pPr>
              <w:rPr>
                <w:rFonts w:ascii="Times New Roman" w:hAnsi="Times New Roman"/>
                <w:b/>
                <w:sz w:val="18"/>
                <w:szCs w:val="18"/>
              </w:rPr>
            </w:pPr>
            <w:r w:rsidRPr="005513E2">
              <w:rPr>
                <w:rFonts w:ascii="Times New Roman" w:hAnsi="Times New Roman"/>
                <w:b/>
                <w:sz w:val="18"/>
                <w:szCs w:val="18"/>
              </w:rPr>
              <w:t>3,</w:t>
            </w:r>
            <w:r w:rsidR="00D222FC" w:rsidRPr="005513E2">
              <w:rPr>
                <w:rFonts w:ascii="Times New Roman" w:hAnsi="Times New Roman"/>
                <w:b/>
                <w:sz w:val="18"/>
                <w:szCs w:val="18"/>
              </w:rPr>
              <w:t>74</w:t>
            </w:r>
          </w:p>
        </w:tc>
        <w:tc>
          <w:tcPr>
            <w:tcW w:w="567" w:type="dxa"/>
            <w:shd w:val="clear" w:color="auto" w:fill="FFFFFF"/>
          </w:tcPr>
          <w:p w:rsidR="00D71781" w:rsidRPr="005513E2" w:rsidRDefault="005A79E3" w:rsidP="00FB7EC6">
            <w:pPr>
              <w:rPr>
                <w:rFonts w:ascii="Times New Roman" w:hAnsi="Times New Roman"/>
                <w:b/>
                <w:sz w:val="18"/>
                <w:szCs w:val="18"/>
              </w:rPr>
            </w:pPr>
            <w:r w:rsidRPr="005513E2">
              <w:rPr>
                <w:rFonts w:ascii="Times New Roman" w:hAnsi="Times New Roman"/>
                <w:b/>
                <w:sz w:val="18"/>
                <w:szCs w:val="18"/>
              </w:rPr>
              <w:t>3,</w:t>
            </w:r>
            <w:r w:rsidR="00D222FC" w:rsidRPr="005513E2">
              <w:rPr>
                <w:rFonts w:ascii="Times New Roman" w:hAnsi="Times New Roman"/>
                <w:b/>
                <w:sz w:val="18"/>
                <w:szCs w:val="18"/>
              </w:rPr>
              <w:t>76</w:t>
            </w:r>
          </w:p>
        </w:tc>
        <w:tc>
          <w:tcPr>
            <w:tcW w:w="1452" w:type="dxa"/>
            <w:gridSpan w:val="3"/>
            <w:shd w:val="clear" w:color="auto" w:fill="FFFFFF"/>
          </w:tcPr>
          <w:p w:rsidR="00D71781" w:rsidRPr="005513E2" w:rsidRDefault="008F7E30" w:rsidP="00D222FC">
            <w:pPr>
              <w:spacing w:line="240" w:lineRule="auto"/>
              <w:rPr>
                <w:rFonts w:ascii="Times New Roman" w:hAnsi="Times New Roman"/>
                <w:b/>
                <w:sz w:val="18"/>
                <w:szCs w:val="18"/>
              </w:rPr>
            </w:pPr>
            <w:r w:rsidRPr="005513E2">
              <w:rPr>
                <w:rFonts w:ascii="Times New Roman" w:hAnsi="Times New Roman"/>
                <w:b/>
                <w:sz w:val="18"/>
                <w:szCs w:val="18"/>
              </w:rPr>
              <w:t>3</w:t>
            </w:r>
            <w:r w:rsidR="00D222FC" w:rsidRPr="005513E2">
              <w:rPr>
                <w:rFonts w:ascii="Times New Roman" w:hAnsi="Times New Roman"/>
                <w:b/>
                <w:sz w:val="18"/>
                <w:szCs w:val="18"/>
              </w:rPr>
              <w:t>8</w:t>
            </w:r>
            <w:r w:rsidRPr="005513E2">
              <w:rPr>
                <w:rFonts w:ascii="Times New Roman" w:hAnsi="Times New Roman"/>
                <w:b/>
                <w:sz w:val="18"/>
                <w:szCs w:val="18"/>
              </w:rPr>
              <w:t>,</w:t>
            </w:r>
            <w:r w:rsidR="003D6D91">
              <w:rPr>
                <w:rFonts w:ascii="Times New Roman" w:hAnsi="Times New Roman"/>
                <w:b/>
                <w:sz w:val="18"/>
                <w:szCs w:val="18"/>
              </w:rPr>
              <w:t>42</w:t>
            </w:r>
          </w:p>
        </w:tc>
      </w:tr>
      <w:tr w:rsidR="00D71781" w:rsidRPr="00A13566" w:rsidTr="001112D5">
        <w:trPr>
          <w:trHeight w:val="703"/>
        </w:trPr>
        <w:tc>
          <w:tcPr>
            <w:tcW w:w="3112" w:type="dxa"/>
            <w:gridSpan w:val="4"/>
            <w:shd w:val="clear" w:color="auto" w:fill="FFFFFF"/>
            <w:vAlign w:val="center"/>
          </w:tcPr>
          <w:p w:rsidR="00D71781" w:rsidRPr="009B5E51" w:rsidRDefault="00D71781" w:rsidP="00D71781">
            <w:pPr>
              <w:spacing w:line="240" w:lineRule="auto"/>
              <w:rPr>
                <w:rFonts w:ascii="Times New Roman" w:hAnsi="Times New Roman"/>
                <w:color w:val="000000"/>
                <w:sz w:val="18"/>
                <w:szCs w:val="18"/>
                <w:u w:val="single"/>
              </w:rPr>
            </w:pPr>
            <w:r w:rsidRPr="009B5E51">
              <w:rPr>
                <w:rFonts w:ascii="Times New Roman" w:hAnsi="Times New Roman"/>
                <w:color w:val="000000"/>
                <w:sz w:val="18"/>
                <w:szCs w:val="18"/>
                <w:u w:val="single"/>
              </w:rPr>
              <w:t>budżet państwa</w:t>
            </w:r>
          </w:p>
          <w:p w:rsidR="00D71781" w:rsidRPr="00A13566" w:rsidRDefault="00D71781" w:rsidP="00D71781">
            <w:pPr>
              <w:spacing w:line="240" w:lineRule="auto"/>
              <w:rPr>
                <w:rFonts w:ascii="Times New Roman" w:hAnsi="Times New Roman"/>
                <w:color w:val="000000"/>
                <w:sz w:val="18"/>
                <w:szCs w:val="18"/>
              </w:rPr>
            </w:pPr>
            <w:r>
              <w:rPr>
                <w:rFonts w:ascii="Times New Roman" w:hAnsi="Times New Roman"/>
                <w:color w:val="000000"/>
                <w:sz w:val="18"/>
                <w:szCs w:val="18"/>
              </w:rPr>
              <w:t>wynagrodzenia pracowników NCRSO (22 etaty) wraz z pochodnymi</w:t>
            </w:r>
          </w:p>
        </w:tc>
        <w:tc>
          <w:tcPr>
            <w:tcW w:w="716"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0,81</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563" w:type="dxa"/>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568"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567" w:type="dxa"/>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2,42</w:t>
            </w:r>
          </w:p>
        </w:tc>
        <w:tc>
          <w:tcPr>
            <w:tcW w:w="1452" w:type="dxa"/>
            <w:gridSpan w:val="3"/>
            <w:shd w:val="clear" w:color="auto" w:fill="FFFFFF"/>
          </w:tcPr>
          <w:p w:rsidR="00D71781" w:rsidRPr="005513E2" w:rsidRDefault="008F7E30" w:rsidP="00D71781">
            <w:pPr>
              <w:spacing w:line="240" w:lineRule="auto"/>
              <w:rPr>
                <w:rFonts w:ascii="Times New Roman" w:hAnsi="Times New Roman"/>
                <w:sz w:val="18"/>
                <w:szCs w:val="18"/>
              </w:rPr>
            </w:pPr>
            <w:r w:rsidRPr="005513E2">
              <w:rPr>
                <w:rFonts w:ascii="Times New Roman" w:hAnsi="Times New Roman"/>
                <w:sz w:val="18"/>
                <w:szCs w:val="18"/>
              </w:rPr>
              <w:t>25,01</w:t>
            </w:r>
          </w:p>
        </w:tc>
      </w:tr>
      <w:tr w:rsidR="00D71781" w:rsidRPr="00A13566" w:rsidTr="001112D5">
        <w:trPr>
          <w:trHeight w:val="330"/>
        </w:trPr>
        <w:tc>
          <w:tcPr>
            <w:tcW w:w="3112" w:type="dxa"/>
            <w:gridSpan w:val="4"/>
            <w:shd w:val="clear" w:color="auto" w:fill="FFFFFF"/>
            <w:vAlign w:val="center"/>
          </w:tcPr>
          <w:p w:rsidR="00D71781" w:rsidRDefault="00D71781" w:rsidP="00D71781">
            <w:pPr>
              <w:spacing w:line="240" w:lineRule="auto"/>
              <w:rPr>
                <w:rFonts w:ascii="Times New Roman" w:hAnsi="Times New Roman"/>
                <w:color w:val="000000"/>
                <w:sz w:val="18"/>
                <w:szCs w:val="18"/>
                <w:u w:val="single"/>
              </w:rPr>
            </w:pPr>
            <w:r w:rsidRPr="009B5E51">
              <w:rPr>
                <w:rFonts w:ascii="Times New Roman" w:hAnsi="Times New Roman"/>
                <w:color w:val="000000"/>
                <w:sz w:val="18"/>
                <w:szCs w:val="18"/>
                <w:u w:val="single"/>
              </w:rPr>
              <w:t>budżet państwa</w:t>
            </w:r>
          </w:p>
          <w:p w:rsidR="00D71781" w:rsidRPr="00DA7591" w:rsidRDefault="00D71781" w:rsidP="00D71781">
            <w:pPr>
              <w:spacing w:line="240" w:lineRule="auto"/>
              <w:rPr>
                <w:rFonts w:ascii="Times New Roman" w:hAnsi="Times New Roman"/>
                <w:color w:val="000000"/>
                <w:sz w:val="18"/>
                <w:szCs w:val="18"/>
              </w:rPr>
            </w:pPr>
            <w:r w:rsidRPr="00DA7591">
              <w:rPr>
                <w:rFonts w:ascii="Times New Roman" w:hAnsi="Times New Roman"/>
                <w:color w:val="000000"/>
                <w:sz w:val="18"/>
                <w:szCs w:val="18"/>
              </w:rPr>
              <w:t>wynagrodzenia bezosobowe</w:t>
            </w:r>
            <w:r>
              <w:rPr>
                <w:rFonts w:ascii="Times New Roman" w:hAnsi="Times New Roman"/>
                <w:color w:val="000000"/>
                <w:sz w:val="18"/>
                <w:szCs w:val="18"/>
              </w:rPr>
              <w:t xml:space="preserve"> (ekspertyzy i analizy)</w:t>
            </w:r>
          </w:p>
        </w:tc>
        <w:tc>
          <w:tcPr>
            <w:tcW w:w="716"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0,0</w:t>
            </w:r>
            <w:r w:rsidR="00091179" w:rsidRPr="005513E2">
              <w:rPr>
                <w:rFonts w:ascii="Times New Roman" w:hAnsi="Times New Roman"/>
                <w:sz w:val="18"/>
                <w:szCs w:val="18"/>
              </w:rPr>
              <w:t>3</w:t>
            </w:r>
          </w:p>
        </w:tc>
        <w:tc>
          <w:tcPr>
            <w:tcW w:w="567" w:type="dxa"/>
            <w:gridSpan w:val="2"/>
            <w:shd w:val="clear" w:color="auto" w:fill="FFFFFF"/>
          </w:tcPr>
          <w:p w:rsidR="00D71781" w:rsidRPr="005513E2" w:rsidRDefault="00D71781" w:rsidP="000E24D2">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07</w:t>
            </w:r>
          </w:p>
        </w:tc>
        <w:tc>
          <w:tcPr>
            <w:tcW w:w="563" w:type="dxa"/>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91179" w:rsidRPr="005513E2">
              <w:rPr>
                <w:rFonts w:ascii="Times New Roman" w:hAnsi="Times New Roman"/>
                <w:sz w:val="18"/>
                <w:szCs w:val="18"/>
              </w:rPr>
              <w:t>1</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91179" w:rsidRPr="005513E2">
              <w:rPr>
                <w:rFonts w:ascii="Times New Roman" w:hAnsi="Times New Roman"/>
                <w:sz w:val="18"/>
                <w:szCs w:val="18"/>
              </w:rPr>
              <w:t>1</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91179" w:rsidRPr="005513E2">
              <w:rPr>
                <w:rFonts w:ascii="Times New Roman" w:hAnsi="Times New Roman"/>
                <w:sz w:val="18"/>
                <w:szCs w:val="18"/>
              </w:rPr>
              <w:t>1</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91179" w:rsidRPr="005513E2">
              <w:rPr>
                <w:rFonts w:ascii="Times New Roman" w:hAnsi="Times New Roman"/>
                <w:sz w:val="18"/>
                <w:szCs w:val="18"/>
              </w:rPr>
              <w:t>1</w:t>
            </w:r>
          </w:p>
        </w:tc>
        <w:tc>
          <w:tcPr>
            <w:tcW w:w="568"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91179" w:rsidRPr="005513E2">
              <w:rPr>
                <w:rFonts w:ascii="Times New Roman" w:hAnsi="Times New Roman"/>
                <w:sz w:val="18"/>
                <w:szCs w:val="18"/>
              </w:rPr>
              <w:t>1</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91179" w:rsidRPr="005513E2">
              <w:rPr>
                <w:rFonts w:ascii="Times New Roman" w:hAnsi="Times New Roman"/>
                <w:sz w:val="18"/>
                <w:szCs w:val="18"/>
              </w:rPr>
              <w:t>1</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91179" w:rsidRPr="005513E2">
              <w:rPr>
                <w:rFonts w:ascii="Times New Roman" w:hAnsi="Times New Roman"/>
                <w:sz w:val="18"/>
                <w:szCs w:val="18"/>
              </w:rPr>
              <w:t>1</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91179" w:rsidRPr="005513E2">
              <w:rPr>
                <w:rFonts w:ascii="Times New Roman" w:hAnsi="Times New Roman"/>
                <w:sz w:val="18"/>
                <w:szCs w:val="18"/>
              </w:rPr>
              <w:t>1</w:t>
            </w:r>
          </w:p>
        </w:tc>
        <w:tc>
          <w:tcPr>
            <w:tcW w:w="567" w:type="dxa"/>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91179" w:rsidRPr="005513E2">
              <w:rPr>
                <w:rFonts w:ascii="Times New Roman" w:hAnsi="Times New Roman"/>
                <w:sz w:val="18"/>
                <w:szCs w:val="18"/>
              </w:rPr>
              <w:t>1</w:t>
            </w:r>
          </w:p>
        </w:tc>
        <w:tc>
          <w:tcPr>
            <w:tcW w:w="1452" w:type="dxa"/>
            <w:gridSpan w:val="3"/>
            <w:shd w:val="clear" w:color="auto" w:fill="FFFFFF"/>
          </w:tcPr>
          <w:p w:rsidR="00D71781" w:rsidRPr="005513E2" w:rsidRDefault="00FB7EC6" w:rsidP="00D71781">
            <w:pPr>
              <w:spacing w:line="240" w:lineRule="auto"/>
              <w:rPr>
                <w:rFonts w:ascii="Times New Roman" w:hAnsi="Times New Roman"/>
                <w:sz w:val="18"/>
                <w:szCs w:val="18"/>
              </w:rPr>
            </w:pPr>
            <w:r w:rsidRPr="005513E2">
              <w:rPr>
                <w:rFonts w:ascii="Times New Roman" w:hAnsi="Times New Roman"/>
                <w:sz w:val="18"/>
                <w:szCs w:val="18"/>
              </w:rPr>
              <w:t>1,00</w:t>
            </w:r>
          </w:p>
        </w:tc>
      </w:tr>
      <w:tr w:rsidR="00D71781" w:rsidRPr="00A13566" w:rsidTr="001112D5">
        <w:trPr>
          <w:trHeight w:val="330"/>
        </w:trPr>
        <w:tc>
          <w:tcPr>
            <w:tcW w:w="3112" w:type="dxa"/>
            <w:gridSpan w:val="4"/>
            <w:shd w:val="clear" w:color="auto" w:fill="FFFFFF"/>
            <w:vAlign w:val="center"/>
          </w:tcPr>
          <w:p w:rsidR="00D71781" w:rsidRDefault="00D71781" w:rsidP="00D71781">
            <w:pPr>
              <w:spacing w:line="240" w:lineRule="auto"/>
              <w:rPr>
                <w:rFonts w:ascii="Times New Roman" w:hAnsi="Times New Roman"/>
                <w:color w:val="000000"/>
                <w:sz w:val="18"/>
                <w:szCs w:val="18"/>
                <w:u w:val="single"/>
              </w:rPr>
            </w:pPr>
            <w:r w:rsidRPr="009B5E51">
              <w:rPr>
                <w:rFonts w:ascii="Times New Roman" w:hAnsi="Times New Roman"/>
                <w:color w:val="000000"/>
                <w:sz w:val="18"/>
                <w:szCs w:val="18"/>
                <w:u w:val="single"/>
              </w:rPr>
              <w:t xml:space="preserve">budżet państwa </w:t>
            </w:r>
          </w:p>
          <w:p w:rsidR="00D71781" w:rsidRPr="00DA7591" w:rsidRDefault="00D71781" w:rsidP="00D71781">
            <w:pPr>
              <w:spacing w:line="240" w:lineRule="auto"/>
              <w:rPr>
                <w:rFonts w:ascii="Times New Roman" w:hAnsi="Times New Roman"/>
                <w:color w:val="000000"/>
                <w:sz w:val="18"/>
                <w:szCs w:val="18"/>
              </w:rPr>
            </w:pPr>
            <w:r w:rsidRPr="00DA7591">
              <w:rPr>
                <w:rFonts w:ascii="Times New Roman" w:hAnsi="Times New Roman"/>
                <w:color w:val="000000"/>
                <w:sz w:val="18"/>
                <w:szCs w:val="18"/>
              </w:rPr>
              <w:t>inne świadczenia pracownicze (odpis na zfśs, szkolenia, zakup usług medycyny pracy, inne)</w:t>
            </w:r>
          </w:p>
        </w:tc>
        <w:tc>
          <w:tcPr>
            <w:tcW w:w="716" w:type="dxa"/>
            <w:gridSpan w:val="2"/>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2</w:t>
            </w:r>
          </w:p>
        </w:tc>
        <w:tc>
          <w:tcPr>
            <w:tcW w:w="567" w:type="dxa"/>
            <w:gridSpan w:val="2"/>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563" w:type="dxa"/>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567" w:type="dxa"/>
            <w:gridSpan w:val="2"/>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567" w:type="dxa"/>
            <w:gridSpan w:val="2"/>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567" w:type="dxa"/>
            <w:gridSpan w:val="2"/>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568" w:type="dxa"/>
            <w:gridSpan w:val="2"/>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567" w:type="dxa"/>
            <w:gridSpan w:val="2"/>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567" w:type="dxa"/>
            <w:gridSpan w:val="2"/>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567" w:type="dxa"/>
            <w:gridSpan w:val="2"/>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567" w:type="dxa"/>
            <w:shd w:val="clear" w:color="auto" w:fill="FFFFFF"/>
          </w:tcPr>
          <w:p w:rsidR="00D71781" w:rsidRPr="005513E2" w:rsidRDefault="00D71781" w:rsidP="00BB0A41">
            <w:pPr>
              <w:spacing w:line="240" w:lineRule="auto"/>
              <w:rPr>
                <w:rFonts w:ascii="Times New Roman" w:hAnsi="Times New Roman"/>
                <w:sz w:val="18"/>
                <w:szCs w:val="18"/>
              </w:rPr>
            </w:pPr>
            <w:r w:rsidRPr="005513E2">
              <w:rPr>
                <w:rFonts w:ascii="Times New Roman" w:hAnsi="Times New Roman"/>
                <w:sz w:val="18"/>
                <w:szCs w:val="18"/>
              </w:rPr>
              <w:t>0,0</w:t>
            </w:r>
            <w:r w:rsidR="00BB0A41" w:rsidRPr="005513E2">
              <w:rPr>
                <w:rFonts w:ascii="Times New Roman" w:hAnsi="Times New Roman"/>
                <w:sz w:val="18"/>
                <w:szCs w:val="18"/>
              </w:rPr>
              <w:t>8</w:t>
            </w:r>
          </w:p>
        </w:tc>
        <w:tc>
          <w:tcPr>
            <w:tcW w:w="1452" w:type="dxa"/>
            <w:gridSpan w:val="3"/>
            <w:shd w:val="clear" w:color="auto" w:fill="FFFFFF"/>
          </w:tcPr>
          <w:p w:rsidR="00D71781" w:rsidRPr="005513E2" w:rsidRDefault="004A0ED5" w:rsidP="00D71781">
            <w:pPr>
              <w:spacing w:line="240" w:lineRule="auto"/>
              <w:rPr>
                <w:rFonts w:ascii="Times New Roman" w:hAnsi="Times New Roman"/>
                <w:sz w:val="18"/>
                <w:szCs w:val="18"/>
              </w:rPr>
            </w:pPr>
            <w:r w:rsidRPr="005513E2">
              <w:rPr>
                <w:rFonts w:ascii="Times New Roman" w:hAnsi="Times New Roman"/>
                <w:sz w:val="18"/>
                <w:szCs w:val="18"/>
              </w:rPr>
              <w:t>0,82</w:t>
            </w:r>
          </w:p>
        </w:tc>
      </w:tr>
      <w:tr w:rsidR="00D71781" w:rsidRPr="00A13566" w:rsidTr="001112D5">
        <w:trPr>
          <w:trHeight w:val="330"/>
        </w:trPr>
        <w:tc>
          <w:tcPr>
            <w:tcW w:w="3112" w:type="dxa"/>
            <w:gridSpan w:val="4"/>
            <w:shd w:val="clear" w:color="auto" w:fill="FFFFFF"/>
            <w:vAlign w:val="center"/>
          </w:tcPr>
          <w:p w:rsidR="00D71781" w:rsidRPr="009B5E51" w:rsidRDefault="00D71781" w:rsidP="00D71781">
            <w:pPr>
              <w:spacing w:line="240" w:lineRule="auto"/>
              <w:rPr>
                <w:rFonts w:ascii="Times New Roman" w:hAnsi="Times New Roman"/>
                <w:color w:val="000000"/>
                <w:sz w:val="18"/>
                <w:szCs w:val="18"/>
                <w:u w:val="single"/>
              </w:rPr>
            </w:pPr>
            <w:r w:rsidRPr="009B5E51">
              <w:rPr>
                <w:rFonts w:ascii="Times New Roman" w:hAnsi="Times New Roman"/>
                <w:color w:val="000000"/>
                <w:sz w:val="18"/>
                <w:szCs w:val="18"/>
                <w:u w:val="single"/>
              </w:rPr>
              <w:t>budżet państwa</w:t>
            </w:r>
          </w:p>
          <w:p w:rsidR="00D71781" w:rsidRPr="00A13566" w:rsidRDefault="00D71781" w:rsidP="00525B68">
            <w:pPr>
              <w:spacing w:line="240" w:lineRule="auto"/>
              <w:rPr>
                <w:rFonts w:ascii="Times New Roman" w:hAnsi="Times New Roman"/>
                <w:color w:val="000000"/>
                <w:sz w:val="18"/>
                <w:szCs w:val="18"/>
              </w:rPr>
            </w:pPr>
            <w:r>
              <w:rPr>
                <w:rFonts w:ascii="Times New Roman" w:hAnsi="Times New Roman"/>
                <w:color w:val="000000"/>
                <w:sz w:val="18"/>
                <w:szCs w:val="18"/>
              </w:rPr>
              <w:t>wyposażenie stanowisk pracy w NCRSO (22 etaty przeliczeniowe)</w:t>
            </w:r>
            <w:r w:rsidR="003D6D91">
              <w:rPr>
                <w:rFonts w:ascii="Times New Roman" w:hAnsi="Times New Roman"/>
                <w:color w:val="000000"/>
                <w:sz w:val="18"/>
                <w:szCs w:val="18"/>
              </w:rPr>
              <w:t xml:space="preserve"> – okresowe doposażenie stanowisk i wymiana zużytego sprzętu i oprogramowania</w:t>
            </w:r>
          </w:p>
        </w:tc>
        <w:tc>
          <w:tcPr>
            <w:tcW w:w="716" w:type="dxa"/>
            <w:gridSpan w:val="2"/>
            <w:shd w:val="clear" w:color="auto" w:fill="FFFFFF"/>
          </w:tcPr>
          <w:p w:rsidR="00D71781" w:rsidRPr="005513E2" w:rsidRDefault="00D71781" w:rsidP="00D71781">
            <w:pPr>
              <w:spacing w:line="240" w:lineRule="auto"/>
              <w:rPr>
                <w:rFonts w:ascii="Times New Roman" w:hAnsi="Times New Roman"/>
                <w:sz w:val="18"/>
                <w:szCs w:val="18"/>
              </w:rPr>
            </w:pPr>
            <w:r w:rsidRPr="005513E2">
              <w:rPr>
                <w:rFonts w:ascii="Times New Roman" w:hAnsi="Times New Roman"/>
                <w:sz w:val="18"/>
                <w:szCs w:val="18"/>
              </w:rPr>
              <w:t>0,22</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3" w:type="dxa"/>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3D6D91" w:rsidP="00D71781">
            <w:pPr>
              <w:spacing w:line="240" w:lineRule="auto"/>
              <w:rPr>
                <w:rFonts w:ascii="Times New Roman" w:hAnsi="Times New Roman"/>
                <w:sz w:val="18"/>
                <w:szCs w:val="18"/>
              </w:rPr>
            </w:pPr>
            <w:r>
              <w:rPr>
                <w:rFonts w:ascii="Times New Roman" w:hAnsi="Times New Roman"/>
                <w:sz w:val="18"/>
                <w:szCs w:val="18"/>
              </w:rPr>
              <w:t>0,11</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8"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3D6D91" w:rsidP="00D71781">
            <w:pPr>
              <w:spacing w:line="240" w:lineRule="auto"/>
              <w:rPr>
                <w:rFonts w:ascii="Times New Roman" w:hAnsi="Times New Roman"/>
                <w:sz w:val="18"/>
                <w:szCs w:val="18"/>
              </w:rPr>
            </w:pPr>
            <w:r>
              <w:rPr>
                <w:rFonts w:ascii="Times New Roman" w:hAnsi="Times New Roman"/>
                <w:sz w:val="18"/>
                <w:szCs w:val="18"/>
              </w:rPr>
              <w:t>0,11</w:t>
            </w: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shd w:val="clear" w:color="auto" w:fill="FFFFFF"/>
          </w:tcPr>
          <w:p w:rsidR="00D71781" w:rsidRPr="005513E2" w:rsidRDefault="00D71781" w:rsidP="00D71781">
            <w:pPr>
              <w:spacing w:line="240" w:lineRule="auto"/>
              <w:rPr>
                <w:rFonts w:ascii="Times New Roman" w:hAnsi="Times New Roman"/>
                <w:sz w:val="18"/>
                <w:szCs w:val="18"/>
              </w:rPr>
            </w:pPr>
          </w:p>
        </w:tc>
        <w:tc>
          <w:tcPr>
            <w:tcW w:w="1452" w:type="dxa"/>
            <w:gridSpan w:val="3"/>
            <w:shd w:val="clear" w:color="auto" w:fill="FFFFFF"/>
          </w:tcPr>
          <w:p w:rsidR="00D71781" w:rsidRPr="005513E2" w:rsidRDefault="003D6D91" w:rsidP="00D71781">
            <w:pPr>
              <w:spacing w:line="240" w:lineRule="auto"/>
              <w:rPr>
                <w:rFonts w:ascii="Times New Roman" w:hAnsi="Times New Roman"/>
                <w:sz w:val="18"/>
                <w:szCs w:val="18"/>
              </w:rPr>
            </w:pPr>
            <w:r>
              <w:rPr>
                <w:rFonts w:ascii="Times New Roman" w:hAnsi="Times New Roman"/>
                <w:sz w:val="18"/>
                <w:szCs w:val="18"/>
              </w:rPr>
              <w:t>0,44</w:t>
            </w:r>
          </w:p>
        </w:tc>
      </w:tr>
      <w:tr w:rsidR="00D71781" w:rsidRPr="00A13566" w:rsidTr="001112D5">
        <w:trPr>
          <w:trHeight w:val="330"/>
        </w:trPr>
        <w:tc>
          <w:tcPr>
            <w:tcW w:w="3112" w:type="dxa"/>
            <w:gridSpan w:val="4"/>
            <w:shd w:val="clear" w:color="auto" w:fill="FFFFFF"/>
            <w:vAlign w:val="center"/>
          </w:tcPr>
          <w:p w:rsidR="00D71781" w:rsidRPr="009B5E51" w:rsidRDefault="00D71781" w:rsidP="00D71781">
            <w:pPr>
              <w:spacing w:line="240" w:lineRule="auto"/>
              <w:rPr>
                <w:rFonts w:ascii="Times New Roman" w:hAnsi="Times New Roman"/>
                <w:color w:val="000000"/>
                <w:sz w:val="18"/>
                <w:szCs w:val="18"/>
                <w:u w:val="single"/>
              </w:rPr>
            </w:pPr>
            <w:r w:rsidRPr="009B5E51">
              <w:rPr>
                <w:rFonts w:ascii="Times New Roman" w:hAnsi="Times New Roman"/>
                <w:color w:val="000000"/>
                <w:sz w:val="18"/>
                <w:szCs w:val="18"/>
                <w:u w:val="single"/>
              </w:rPr>
              <w:t>budżet państwa</w:t>
            </w:r>
          </w:p>
          <w:p w:rsidR="00D71781" w:rsidRPr="009B5E51" w:rsidRDefault="00D71781" w:rsidP="00D71781">
            <w:pPr>
              <w:spacing w:line="240" w:lineRule="auto"/>
              <w:rPr>
                <w:rFonts w:ascii="Times New Roman" w:hAnsi="Times New Roman"/>
                <w:color w:val="000000"/>
                <w:sz w:val="18"/>
                <w:szCs w:val="18"/>
              </w:rPr>
            </w:pPr>
            <w:r w:rsidRPr="009B5E51">
              <w:rPr>
                <w:rFonts w:ascii="Times New Roman" w:hAnsi="Times New Roman"/>
                <w:color w:val="000000"/>
                <w:sz w:val="18"/>
                <w:szCs w:val="18"/>
              </w:rPr>
              <w:t>podróże służbowe krajowe i zagraniczne</w:t>
            </w:r>
          </w:p>
        </w:tc>
        <w:tc>
          <w:tcPr>
            <w:tcW w:w="716" w:type="dxa"/>
            <w:gridSpan w:val="2"/>
            <w:shd w:val="clear" w:color="auto" w:fill="FFFFFF"/>
          </w:tcPr>
          <w:p w:rsidR="00D71781" w:rsidRPr="005513E2" w:rsidRDefault="00D71781" w:rsidP="000E24D2">
            <w:pPr>
              <w:spacing w:line="240" w:lineRule="auto"/>
              <w:rPr>
                <w:rFonts w:ascii="Times New Roman" w:hAnsi="Times New Roman"/>
                <w:sz w:val="18"/>
                <w:szCs w:val="18"/>
              </w:rPr>
            </w:pPr>
            <w:r w:rsidRPr="005513E2">
              <w:rPr>
                <w:rFonts w:ascii="Times New Roman" w:hAnsi="Times New Roman"/>
                <w:sz w:val="18"/>
                <w:szCs w:val="18"/>
              </w:rPr>
              <w:t>0,0</w:t>
            </w:r>
            <w:r w:rsidR="000E24D2" w:rsidRPr="005513E2">
              <w:rPr>
                <w:rFonts w:ascii="Times New Roman" w:hAnsi="Times New Roman"/>
                <w:sz w:val="18"/>
                <w:szCs w:val="18"/>
              </w:rPr>
              <w:t>6</w:t>
            </w:r>
          </w:p>
        </w:tc>
        <w:tc>
          <w:tcPr>
            <w:tcW w:w="567" w:type="dxa"/>
            <w:gridSpan w:val="2"/>
            <w:shd w:val="clear" w:color="auto" w:fill="FFFFFF"/>
          </w:tcPr>
          <w:p w:rsidR="00D71781" w:rsidRPr="005513E2" w:rsidRDefault="000E24D2" w:rsidP="00D71781">
            <w:pPr>
              <w:spacing w:line="240" w:lineRule="auto"/>
              <w:rPr>
                <w:rFonts w:ascii="Times New Roman" w:hAnsi="Times New Roman"/>
                <w:sz w:val="18"/>
                <w:szCs w:val="18"/>
              </w:rPr>
            </w:pPr>
            <w:r w:rsidRPr="005513E2">
              <w:rPr>
                <w:rFonts w:ascii="Times New Roman" w:hAnsi="Times New Roman"/>
                <w:sz w:val="18"/>
                <w:szCs w:val="18"/>
              </w:rPr>
              <w:t>0,20</w:t>
            </w:r>
          </w:p>
        </w:tc>
        <w:tc>
          <w:tcPr>
            <w:tcW w:w="563" w:type="dxa"/>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0,2</w:t>
            </w:r>
            <w:r w:rsidR="00091179" w:rsidRPr="005513E2">
              <w:rPr>
                <w:rFonts w:ascii="Times New Roman" w:hAnsi="Times New Roman"/>
                <w:sz w:val="18"/>
                <w:szCs w:val="18"/>
              </w:rPr>
              <w:t>5</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0,2</w:t>
            </w:r>
            <w:r w:rsidR="00091179" w:rsidRPr="005513E2">
              <w:rPr>
                <w:rFonts w:ascii="Times New Roman" w:hAnsi="Times New Roman"/>
                <w:sz w:val="18"/>
                <w:szCs w:val="18"/>
              </w:rPr>
              <w:t>5</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0,2</w:t>
            </w:r>
            <w:r w:rsidR="00091179" w:rsidRPr="005513E2">
              <w:rPr>
                <w:rFonts w:ascii="Times New Roman" w:hAnsi="Times New Roman"/>
                <w:sz w:val="18"/>
                <w:szCs w:val="18"/>
              </w:rPr>
              <w:t>5</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0,2</w:t>
            </w:r>
            <w:r w:rsidR="00091179" w:rsidRPr="005513E2">
              <w:rPr>
                <w:rFonts w:ascii="Times New Roman" w:hAnsi="Times New Roman"/>
                <w:sz w:val="18"/>
                <w:szCs w:val="18"/>
              </w:rPr>
              <w:t>5</w:t>
            </w:r>
          </w:p>
        </w:tc>
        <w:tc>
          <w:tcPr>
            <w:tcW w:w="568"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0,2</w:t>
            </w:r>
            <w:r w:rsidR="00091179" w:rsidRPr="005513E2">
              <w:rPr>
                <w:rFonts w:ascii="Times New Roman" w:hAnsi="Times New Roman"/>
                <w:sz w:val="18"/>
                <w:szCs w:val="18"/>
              </w:rPr>
              <w:t>5</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0,2</w:t>
            </w:r>
            <w:r w:rsidR="00091179" w:rsidRPr="005513E2">
              <w:rPr>
                <w:rFonts w:ascii="Times New Roman" w:hAnsi="Times New Roman"/>
                <w:sz w:val="18"/>
                <w:szCs w:val="18"/>
              </w:rPr>
              <w:t>5</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0,2</w:t>
            </w:r>
            <w:r w:rsidR="00091179" w:rsidRPr="005513E2">
              <w:rPr>
                <w:rFonts w:ascii="Times New Roman" w:hAnsi="Times New Roman"/>
                <w:sz w:val="18"/>
                <w:szCs w:val="18"/>
              </w:rPr>
              <w:t>5</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0,2</w:t>
            </w:r>
            <w:r w:rsidR="00091179" w:rsidRPr="005513E2">
              <w:rPr>
                <w:rFonts w:ascii="Times New Roman" w:hAnsi="Times New Roman"/>
                <w:sz w:val="18"/>
                <w:szCs w:val="18"/>
              </w:rPr>
              <w:t>5</w:t>
            </w:r>
          </w:p>
        </w:tc>
        <w:tc>
          <w:tcPr>
            <w:tcW w:w="567" w:type="dxa"/>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0,2</w:t>
            </w:r>
            <w:r w:rsidR="00091179" w:rsidRPr="005513E2">
              <w:rPr>
                <w:rFonts w:ascii="Times New Roman" w:hAnsi="Times New Roman"/>
                <w:sz w:val="18"/>
                <w:szCs w:val="18"/>
              </w:rPr>
              <w:t>5</w:t>
            </w:r>
          </w:p>
        </w:tc>
        <w:tc>
          <w:tcPr>
            <w:tcW w:w="1452" w:type="dxa"/>
            <w:gridSpan w:val="3"/>
            <w:shd w:val="clear" w:color="auto" w:fill="FFFFFF"/>
          </w:tcPr>
          <w:p w:rsidR="00D71781" w:rsidRPr="005513E2" w:rsidRDefault="004A0ED5" w:rsidP="00FB7EC6">
            <w:pPr>
              <w:spacing w:line="240" w:lineRule="auto"/>
              <w:rPr>
                <w:rFonts w:ascii="Times New Roman" w:hAnsi="Times New Roman"/>
                <w:sz w:val="18"/>
                <w:szCs w:val="18"/>
              </w:rPr>
            </w:pPr>
            <w:r w:rsidRPr="005513E2">
              <w:rPr>
                <w:rFonts w:ascii="Times New Roman" w:hAnsi="Times New Roman"/>
                <w:sz w:val="18"/>
                <w:szCs w:val="18"/>
              </w:rPr>
              <w:t>2,</w:t>
            </w:r>
            <w:r w:rsidR="00FB7EC6" w:rsidRPr="005513E2">
              <w:rPr>
                <w:rFonts w:ascii="Times New Roman" w:hAnsi="Times New Roman"/>
                <w:sz w:val="18"/>
                <w:szCs w:val="18"/>
              </w:rPr>
              <w:t>51</w:t>
            </w:r>
          </w:p>
        </w:tc>
      </w:tr>
      <w:tr w:rsidR="00D71781" w:rsidRPr="00A13566" w:rsidTr="001112D5">
        <w:trPr>
          <w:trHeight w:val="330"/>
        </w:trPr>
        <w:tc>
          <w:tcPr>
            <w:tcW w:w="3112" w:type="dxa"/>
            <w:gridSpan w:val="4"/>
            <w:shd w:val="clear" w:color="auto" w:fill="FFFFFF"/>
            <w:vAlign w:val="center"/>
          </w:tcPr>
          <w:p w:rsidR="00D71781" w:rsidRPr="009B5E51" w:rsidRDefault="00D71781" w:rsidP="00D71781">
            <w:pPr>
              <w:spacing w:line="240" w:lineRule="auto"/>
              <w:rPr>
                <w:rFonts w:ascii="Times New Roman" w:hAnsi="Times New Roman"/>
                <w:color w:val="000000"/>
                <w:sz w:val="18"/>
                <w:szCs w:val="18"/>
                <w:u w:val="single"/>
              </w:rPr>
            </w:pPr>
            <w:r w:rsidRPr="009B5E51">
              <w:rPr>
                <w:rFonts w:ascii="Times New Roman" w:hAnsi="Times New Roman"/>
                <w:color w:val="000000"/>
                <w:sz w:val="18"/>
                <w:szCs w:val="18"/>
                <w:u w:val="single"/>
              </w:rPr>
              <w:t>budżet państwa</w:t>
            </w:r>
          </w:p>
          <w:p w:rsidR="00D71781" w:rsidRPr="00A13566" w:rsidRDefault="00D71781" w:rsidP="00D71781">
            <w:pPr>
              <w:spacing w:line="240" w:lineRule="auto"/>
              <w:rPr>
                <w:rFonts w:ascii="Times New Roman" w:hAnsi="Times New Roman"/>
                <w:color w:val="000000"/>
                <w:sz w:val="18"/>
                <w:szCs w:val="18"/>
              </w:rPr>
            </w:pPr>
            <w:r>
              <w:rPr>
                <w:rFonts w:ascii="Times New Roman" w:hAnsi="Times New Roman"/>
                <w:color w:val="000000"/>
                <w:sz w:val="18"/>
                <w:szCs w:val="18"/>
              </w:rPr>
              <w:t>wynajem powierzchni biurowej</w:t>
            </w:r>
          </w:p>
        </w:tc>
        <w:tc>
          <w:tcPr>
            <w:tcW w:w="716" w:type="dxa"/>
            <w:gridSpan w:val="2"/>
            <w:shd w:val="clear" w:color="auto" w:fill="FFFFFF"/>
          </w:tcPr>
          <w:p w:rsidR="00D71781" w:rsidRPr="005513E2" w:rsidRDefault="000E24D2" w:rsidP="00D71781">
            <w:pPr>
              <w:spacing w:line="240" w:lineRule="auto"/>
              <w:rPr>
                <w:rFonts w:ascii="Times New Roman" w:hAnsi="Times New Roman"/>
                <w:sz w:val="18"/>
                <w:szCs w:val="18"/>
              </w:rPr>
            </w:pPr>
            <w:r w:rsidRPr="005513E2">
              <w:rPr>
                <w:rFonts w:ascii="Times New Roman" w:hAnsi="Times New Roman"/>
                <w:sz w:val="18"/>
                <w:szCs w:val="18"/>
              </w:rPr>
              <w:t>0,18</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5</w:t>
            </w:r>
            <w:r w:rsidR="0085338C" w:rsidRPr="005513E2">
              <w:rPr>
                <w:rFonts w:ascii="Times New Roman" w:hAnsi="Times New Roman"/>
                <w:sz w:val="18"/>
                <w:szCs w:val="18"/>
              </w:rPr>
              <w:t>3</w:t>
            </w:r>
          </w:p>
        </w:tc>
        <w:tc>
          <w:tcPr>
            <w:tcW w:w="563" w:type="dxa"/>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5</w:t>
            </w:r>
            <w:r w:rsidR="0085338C" w:rsidRPr="005513E2">
              <w:rPr>
                <w:rFonts w:ascii="Times New Roman" w:hAnsi="Times New Roman"/>
                <w:sz w:val="18"/>
                <w:szCs w:val="18"/>
              </w:rPr>
              <w:t>4</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5</w:t>
            </w:r>
            <w:r w:rsidR="00091179" w:rsidRPr="005513E2">
              <w:rPr>
                <w:rFonts w:ascii="Times New Roman" w:hAnsi="Times New Roman"/>
                <w:sz w:val="18"/>
                <w:szCs w:val="18"/>
              </w:rPr>
              <w:t>5</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5</w:t>
            </w:r>
            <w:r w:rsidR="0085338C" w:rsidRPr="005513E2">
              <w:rPr>
                <w:rFonts w:ascii="Times New Roman" w:hAnsi="Times New Roman"/>
                <w:sz w:val="18"/>
                <w:szCs w:val="18"/>
              </w:rPr>
              <w:t>6</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5</w:t>
            </w:r>
            <w:r w:rsidR="0085338C" w:rsidRPr="005513E2">
              <w:rPr>
                <w:rFonts w:ascii="Times New Roman" w:hAnsi="Times New Roman"/>
                <w:sz w:val="18"/>
                <w:szCs w:val="18"/>
              </w:rPr>
              <w:t>7</w:t>
            </w:r>
          </w:p>
        </w:tc>
        <w:tc>
          <w:tcPr>
            <w:tcW w:w="568"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5</w:t>
            </w:r>
            <w:r w:rsidR="0085338C" w:rsidRPr="005513E2">
              <w:rPr>
                <w:rFonts w:ascii="Times New Roman" w:hAnsi="Times New Roman"/>
                <w:sz w:val="18"/>
                <w:szCs w:val="18"/>
              </w:rPr>
              <w:t>8</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5</w:t>
            </w:r>
            <w:r w:rsidR="0085338C" w:rsidRPr="005513E2">
              <w:rPr>
                <w:rFonts w:ascii="Times New Roman" w:hAnsi="Times New Roman"/>
                <w:sz w:val="18"/>
                <w:szCs w:val="18"/>
              </w:rPr>
              <w:t>9</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85338C" w:rsidRPr="005513E2">
              <w:rPr>
                <w:rFonts w:ascii="Times New Roman" w:hAnsi="Times New Roman"/>
                <w:sz w:val="18"/>
                <w:szCs w:val="18"/>
              </w:rPr>
              <w:t>60</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85338C" w:rsidRPr="005513E2">
              <w:rPr>
                <w:rFonts w:ascii="Times New Roman" w:hAnsi="Times New Roman"/>
                <w:sz w:val="18"/>
                <w:szCs w:val="18"/>
              </w:rPr>
              <w:t>61</w:t>
            </w:r>
          </w:p>
        </w:tc>
        <w:tc>
          <w:tcPr>
            <w:tcW w:w="567" w:type="dxa"/>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85338C" w:rsidRPr="005513E2">
              <w:rPr>
                <w:rFonts w:ascii="Times New Roman" w:hAnsi="Times New Roman"/>
                <w:sz w:val="18"/>
                <w:szCs w:val="18"/>
              </w:rPr>
              <w:t>62</w:t>
            </w:r>
          </w:p>
        </w:tc>
        <w:tc>
          <w:tcPr>
            <w:tcW w:w="1452" w:type="dxa"/>
            <w:gridSpan w:val="3"/>
            <w:shd w:val="clear" w:color="auto" w:fill="FFFFFF"/>
          </w:tcPr>
          <w:p w:rsidR="00D71781" w:rsidRPr="005513E2" w:rsidRDefault="004A0ED5" w:rsidP="0085338C">
            <w:pPr>
              <w:spacing w:line="240" w:lineRule="auto"/>
              <w:rPr>
                <w:rFonts w:ascii="Times New Roman" w:hAnsi="Times New Roman"/>
                <w:sz w:val="18"/>
                <w:szCs w:val="18"/>
              </w:rPr>
            </w:pPr>
            <w:r w:rsidRPr="005513E2">
              <w:rPr>
                <w:rFonts w:ascii="Times New Roman" w:hAnsi="Times New Roman"/>
                <w:sz w:val="18"/>
                <w:szCs w:val="18"/>
              </w:rPr>
              <w:t>5,</w:t>
            </w:r>
            <w:r w:rsidR="0085338C" w:rsidRPr="005513E2">
              <w:rPr>
                <w:rFonts w:ascii="Times New Roman" w:hAnsi="Times New Roman"/>
                <w:sz w:val="18"/>
                <w:szCs w:val="18"/>
              </w:rPr>
              <w:t>93</w:t>
            </w:r>
          </w:p>
        </w:tc>
      </w:tr>
      <w:tr w:rsidR="00D71781" w:rsidRPr="00A13566" w:rsidTr="001112D5">
        <w:trPr>
          <w:trHeight w:val="330"/>
        </w:trPr>
        <w:tc>
          <w:tcPr>
            <w:tcW w:w="3112" w:type="dxa"/>
            <w:gridSpan w:val="4"/>
            <w:shd w:val="clear" w:color="auto" w:fill="FFFFFF"/>
            <w:vAlign w:val="center"/>
          </w:tcPr>
          <w:p w:rsidR="00D71781" w:rsidRDefault="00D71781" w:rsidP="00D71781">
            <w:pPr>
              <w:spacing w:line="240" w:lineRule="auto"/>
              <w:rPr>
                <w:rFonts w:ascii="Times New Roman" w:hAnsi="Times New Roman"/>
                <w:color w:val="000000"/>
                <w:sz w:val="18"/>
                <w:szCs w:val="18"/>
                <w:u w:val="single"/>
              </w:rPr>
            </w:pPr>
            <w:r w:rsidRPr="009B5E51">
              <w:rPr>
                <w:rFonts w:ascii="Times New Roman" w:hAnsi="Times New Roman"/>
                <w:color w:val="000000"/>
                <w:sz w:val="18"/>
                <w:szCs w:val="18"/>
                <w:u w:val="single"/>
              </w:rPr>
              <w:t>budżet państwa</w:t>
            </w:r>
          </w:p>
          <w:p w:rsidR="00D71781" w:rsidRPr="00DA7591" w:rsidRDefault="00D71781" w:rsidP="00D71781">
            <w:pPr>
              <w:spacing w:line="240" w:lineRule="auto"/>
              <w:rPr>
                <w:rFonts w:ascii="Times New Roman" w:hAnsi="Times New Roman"/>
                <w:color w:val="000000"/>
                <w:sz w:val="18"/>
                <w:szCs w:val="18"/>
              </w:rPr>
            </w:pPr>
            <w:r w:rsidRPr="00DA7591">
              <w:rPr>
                <w:rFonts w:ascii="Times New Roman" w:hAnsi="Times New Roman"/>
                <w:color w:val="000000"/>
                <w:sz w:val="18"/>
                <w:szCs w:val="18"/>
              </w:rPr>
              <w:t>inne koszty administracyjne</w:t>
            </w:r>
          </w:p>
        </w:tc>
        <w:tc>
          <w:tcPr>
            <w:tcW w:w="716" w:type="dxa"/>
            <w:gridSpan w:val="2"/>
            <w:shd w:val="clear" w:color="auto" w:fill="FFFFFF"/>
          </w:tcPr>
          <w:p w:rsidR="00D71781" w:rsidRPr="005513E2" w:rsidRDefault="00D71781" w:rsidP="000E24D2">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06</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85338C" w:rsidRPr="005513E2">
              <w:rPr>
                <w:rFonts w:ascii="Times New Roman" w:hAnsi="Times New Roman"/>
                <w:sz w:val="18"/>
                <w:szCs w:val="18"/>
              </w:rPr>
              <w:t>0</w:t>
            </w:r>
          </w:p>
        </w:tc>
        <w:tc>
          <w:tcPr>
            <w:tcW w:w="563" w:type="dxa"/>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091179" w:rsidRPr="005513E2">
              <w:rPr>
                <w:rFonts w:ascii="Times New Roman" w:hAnsi="Times New Roman"/>
                <w:sz w:val="18"/>
                <w:szCs w:val="18"/>
              </w:rPr>
              <w:t>1</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091179" w:rsidRPr="005513E2">
              <w:rPr>
                <w:rFonts w:ascii="Times New Roman" w:hAnsi="Times New Roman"/>
                <w:sz w:val="18"/>
                <w:szCs w:val="18"/>
              </w:rPr>
              <w:t>2</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85338C" w:rsidRPr="005513E2">
              <w:rPr>
                <w:rFonts w:ascii="Times New Roman" w:hAnsi="Times New Roman"/>
                <w:sz w:val="18"/>
                <w:szCs w:val="18"/>
              </w:rPr>
              <w:t>3</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85338C" w:rsidRPr="005513E2">
              <w:rPr>
                <w:rFonts w:ascii="Times New Roman" w:hAnsi="Times New Roman"/>
                <w:sz w:val="18"/>
                <w:szCs w:val="18"/>
              </w:rPr>
              <w:t>4</w:t>
            </w:r>
          </w:p>
        </w:tc>
        <w:tc>
          <w:tcPr>
            <w:tcW w:w="568"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85338C" w:rsidRPr="005513E2">
              <w:rPr>
                <w:rFonts w:ascii="Times New Roman" w:hAnsi="Times New Roman"/>
                <w:sz w:val="18"/>
                <w:szCs w:val="18"/>
              </w:rPr>
              <w:t>5</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85338C" w:rsidRPr="005513E2">
              <w:rPr>
                <w:rFonts w:ascii="Times New Roman" w:hAnsi="Times New Roman"/>
                <w:sz w:val="18"/>
                <w:szCs w:val="18"/>
              </w:rPr>
              <w:t>6</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85338C" w:rsidRPr="005513E2">
              <w:rPr>
                <w:rFonts w:ascii="Times New Roman" w:hAnsi="Times New Roman"/>
                <w:sz w:val="18"/>
                <w:szCs w:val="18"/>
              </w:rPr>
              <w:t>7</w:t>
            </w:r>
          </w:p>
        </w:tc>
        <w:tc>
          <w:tcPr>
            <w:tcW w:w="567" w:type="dxa"/>
            <w:gridSpan w:val="2"/>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85338C" w:rsidRPr="005513E2">
              <w:rPr>
                <w:rFonts w:ascii="Times New Roman" w:hAnsi="Times New Roman"/>
                <w:sz w:val="18"/>
                <w:szCs w:val="18"/>
              </w:rPr>
              <w:t>8</w:t>
            </w:r>
          </w:p>
        </w:tc>
        <w:tc>
          <w:tcPr>
            <w:tcW w:w="567" w:type="dxa"/>
            <w:shd w:val="clear" w:color="auto" w:fill="FFFFFF"/>
          </w:tcPr>
          <w:p w:rsidR="00D71781" w:rsidRPr="005513E2" w:rsidRDefault="00D71781" w:rsidP="00091179">
            <w:pPr>
              <w:spacing w:line="240" w:lineRule="auto"/>
              <w:rPr>
                <w:rFonts w:ascii="Times New Roman" w:hAnsi="Times New Roman"/>
                <w:sz w:val="18"/>
                <w:szCs w:val="18"/>
              </w:rPr>
            </w:pPr>
            <w:r w:rsidRPr="005513E2">
              <w:rPr>
                <w:rFonts w:ascii="Times New Roman" w:hAnsi="Times New Roman"/>
                <w:sz w:val="18"/>
                <w:szCs w:val="18"/>
              </w:rPr>
              <w:t>0,</w:t>
            </w:r>
            <w:r w:rsidR="000E24D2" w:rsidRPr="005513E2">
              <w:rPr>
                <w:rFonts w:ascii="Times New Roman" w:hAnsi="Times New Roman"/>
                <w:sz w:val="18"/>
                <w:szCs w:val="18"/>
              </w:rPr>
              <w:t>2</w:t>
            </w:r>
            <w:r w:rsidR="0085338C" w:rsidRPr="005513E2">
              <w:rPr>
                <w:rFonts w:ascii="Times New Roman" w:hAnsi="Times New Roman"/>
                <w:sz w:val="18"/>
                <w:szCs w:val="18"/>
              </w:rPr>
              <w:t>9</w:t>
            </w:r>
          </w:p>
        </w:tc>
        <w:tc>
          <w:tcPr>
            <w:tcW w:w="1452" w:type="dxa"/>
            <w:gridSpan w:val="3"/>
            <w:shd w:val="clear" w:color="auto" w:fill="FFFFFF"/>
          </w:tcPr>
          <w:p w:rsidR="00D71781" w:rsidRPr="005513E2" w:rsidRDefault="0085338C" w:rsidP="00D71781">
            <w:pPr>
              <w:spacing w:line="240" w:lineRule="auto"/>
              <w:rPr>
                <w:rFonts w:ascii="Times New Roman" w:hAnsi="Times New Roman"/>
                <w:sz w:val="18"/>
                <w:szCs w:val="18"/>
              </w:rPr>
            </w:pPr>
            <w:r w:rsidRPr="005513E2">
              <w:rPr>
                <w:rFonts w:ascii="Times New Roman" w:hAnsi="Times New Roman"/>
                <w:sz w:val="18"/>
                <w:szCs w:val="18"/>
              </w:rPr>
              <w:t>2,51</w:t>
            </w:r>
          </w:p>
        </w:tc>
      </w:tr>
      <w:tr w:rsidR="00113BE2" w:rsidRPr="00A13566" w:rsidTr="001112D5">
        <w:trPr>
          <w:trHeight w:val="351"/>
        </w:trPr>
        <w:tc>
          <w:tcPr>
            <w:tcW w:w="3112" w:type="dxa"/>
            <w:gridSpan w:val="4"/>
            <w:shd w:val="clear" w:color="auto" w:fill="FFFFFF"/>
            <w:vAlign w:val="center"/>
          </w:tcPr>
          <w:p w:rsidR="00113BE2" w:rsidRPr="00A13566" w:rsidRDefault="00113BE2" w:rsidP="00113BE2">
            <w:pPr>
              <w:spacing w:line="240" w:lineRule="auto"/>
              <w:rPr>
                <w:rFonts w:ascii="Times New Roman" w:hAnsi="Times New Roman"/>
                <w:color w:val="000000"/>
                <w:sz w:val="18"/>
                <w:szCs w:val="18"/>
              </w:rPr>
            </w:pPr>
            <w:r w:rsidRPr="00A13566">
              <w:rPr>
                <w:rFonts w:ascii="Times New Roman" w:hAnsi="Times New Roman"/>
                <w:color w:val="000000"/>
                <w:sz w:val="18"/>
                <w:szCs w:val="18"/>
              </w:rPr>
              <w:t>JST</w:t>
            </w:r>
          </w:p>
        </w:tc>
        <w:tc>
          <w:tcPr>
            <w:tcW w:w="716"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w:t>
            </w:r>
          </w:p>
        </w:tc>
        <w:tc>
          <w:tcPr>
            <w:tcW w:w="1452" w:type="dxa"/>
            <w:gridSpan w:val="3"/>
            <w:shd w:val="clear" w:color="auto" w:fill="FFFFFF"/>
          </w:tcPr>
          <w:p w:rsidR="00113BE2" w:rsidRPr="005513E2" w:rsidRDefault="00113BE2" w:rsidP="00113BE2">
            <w:pPr>
              <w:spacing w:line="240" w:lineRule="auto"/>
              <w:rPr>
                <w:rFonts w:ascii="Times New Roman" w:hAnsi="Times New Roman"/>
                <w:sz w:val="18"/>
                <w:szCs w:val="18"/>
              </w:rPr>
            </w:pPr>
          </w:p>
        </w:tc>
      </w:tr>
      <w:tr w:rsidR="00D71781" w:rsidRPr="00A13566" w:rsidTr="001112D5">
        <w:trPr>
          <w:trHeight w:val="351"/>
        </w:trPr>
        <w:tc>
          <w:tcPr>
            <w:tcW w:w="3112" w:type="dxa"/>
            <w:gridSpan w:val="4"/>
            <w:shd w:val="clear" w:color="auto" w:fill="FFFFFF"/>
            <w:vAlign w:val="center"/>
          </w:tcPr>
          <w:p w:rsidR="00D71781" w:rsidRPr="00A13566" w:rsidRDefault="00D71781" w:rsidP="00D71781">
            <w:pPr>
              <w:spacing w:line="240" w:lineRule="auto"/>
              <w:rPr>
                <w:rFonts w:ascii="Times New Roman" w:hAnsi="Times New Roman"/>
                <w:color w:val="000000"/>
                <w:sz w:val="18"/>
                <w:szCs w:val="18"/>
              </w:rPr>
            </w:pPr>
            <w:r w:rsidRPr="00A13566">
              <w:rPr>
                <w:rFonts w:ascii="Times New Roman" w:hAnsi="Times New Roman"/>
                <w:color w:val="000000"/>
                <w:sz w:val="18"/>
                <w:szCs w:val="18"/>
              </w:rPr>
              <w:lastRenderedPageBreak/>
              <w:t>pozostałe jednostki (oddzielnie)</w:t>
            </w:r>
          </w:p>
        </w:tc>
        <w:tc>
          <w:tcPr>
            <w:tcW w:w="716"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3" w:type="dxa"/>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8"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gridSpan w:val="2"/>
            <w:shd w:val="clear" w:color="auto" w:fill="FFFFFF"/>
          </w:tcPr>
          <w:p w:rsidR="00D71781" w:rsidRPr="005513E2" w:rsidRDefault="00D71781" w:rsidP="00D71781">
            <w:pPr>
              <w:spacing w:line="240" w:lineRule="auto"/>
              <w:rPr>
                <w:rFonts w:ascii="Times New Roman" w:hAnsi="Times New Roman"/>
                <w:sz w:val="18"/>
                <w:szCs w:val="18"/>
              </w:rPr>
            </w:pPr>
          </w:p>
        </w:tc>
        <w:tc>
          <w:tcPr>
            <w:tcW w:w="567" w:type="dxa"/>
            <w:shd w:val="clear" w:color="auto" w:fill="FFFFFF"/>
          </w:tcPr>
          <w:p w:rsidR="00D71781" w:rsidRPr="005513E2" w:rsidRDefault="00D71781" w:rsidP="00D71781">
            <w:pPr>
              <w:spacing w:line="240" w:lineRule="auto"/>
              <w:rPr>
                <w:rFonts w:ascii="Times New Roman" w:hAnsi="Times New Roman"/>
                <w:sz w:val="18"/>
                <w:szCs w:val="18"/>
              </w:rPr>
            </w:pPr>
          </w:p>
        </w:tc>
        <w:tc>
          <w:tcPr>
            <w:tcW w:w="1452" w:type="dxa"/>
            <w:gridSpan w:val="3"/>
            <w:shd w:val="clear" w:color="auto" w:fill="FFFFFF"/>
          </w:tcPr>
          <w:p w:rsidR="00D71781" w:rsidRPr="005513E2" w:rsidRDefault="00D71781" w:rsidP="00D71781">
            <w:pPr>
              <w:spacing w:line="240" w:lineRule="auto"/>
              <w:rPr>
                <w:rFonts w:ascii="Times New Roman" w:hAnsi="Times New Roman"/>
                <w:sz w:val="18"/>
                <w:szCs w:val="18"/>
              </w:rPr>
            </w:pPr>
          </w:p>
        </w:tc>
      </w:tr>
      <w:tr w:rsidR="00D71781" w:rsidRPr="00A13566" w:rsidTr="001112D5">
        <w:trPr>
          <w:trHeight w:val="360"/>
        </w:trPr>
        <w:tc>
          <w:tcPr>
            <w:tcW w:w="3112" w:type="dxa"/>
            <w:gridSpan w:val="4"/>
            <w:shd w:val="clear" w:color="auto" w:fill="FFFFFF"/>
            <w:vAlign w:val="center"/>
          </w:tcPr>
          <w:p w:rsidR="00D71781" w:rsidRPr="00A13566" w:rsidRDefault="00D71781" w:rsidP="00D71781">
            <w:pPr>
              <w:spacing w:line="240" w:lineRule="auto"/>
              <w:rPr>
                <w:rFonts w:ascii="Times New Roman" w:hAnsi="Times New Roman"/>
                <w:color w:val="000000"/>
                <w:sz w:val="18"/>
                <w:szCs w:val="18"/>
              </w:rPr>
            </w:pPr>
            <w:r w:rsidRPr="00A13566">
              <w:rPr>
                <w:rFonts w:ascii="Times New Roman" w:hAnsi="Times New Roman"/>
                <w:b/>
                <w:color w:val="000000"/>
                <w:sz w:val="18"/>
                <w:szCs w:val="18"/>
              </w:rPr>
              <w:t>Saldo ogółem</w:t>
            </w:r>
          </w:p>
        </w:tc>
        <w:tc>
          <w:tcPr>
            <w:tcW w:w="716" w:type="dxa"/>
            <w:gridSpan w:val="2"/>
            <w:shd w:val="clear" w:color="auto" w:fill="FFFFFF"/>
          </w:tcPr>
          <w:p w:rsidR="00D71781" w:rsidRPr="005513E2" w:rsidRDefault="0029705C" w:rsidP="00D71781">
            <w:pPr>
              <w:spacing w:line="240" w:lineRule="auto"/>
              <w:rPr>
                <w:rFonts w:ascii="Times New Roman" w:hAnsi="Times New Roman"/>
                <w:b/>
                <w:sz w:val="16"/>
                <w:szCs w:val="16"/>
              </w:rPr>
            </w:pPr>
            <w:r w:rsidRPr="005513E2">
              <w:rPr>
                <w:rFonts w:ascii="Times New Roman" w:hAnsi="Times New Roman"/>
                <w:b/>
                <w:sz w:val="16"/>
                <w:szCs w:val="16"/>
              </w:rPr>
              <w:t>-1,04</w:t>
            </w:r>
          </w:p>
        </w:tc>
        <w:tc>
          <w:tcPr>
            <w:tcW w:w="567" w:type="dxa"/>
            <w:gridSpan w:val="2"/>
            <w:shd w:val="clear" w:color="auto" w:fill="FFFFFF"/>
          </w:tcPr>
          <w:p w:rsidR="00D71781" w:rsidRPr="005513E2" w:rsidRDefault="00113BE2" w:rsidP="00BE70AA">
            <w:pPr>
              <w:rPr>
                <w:rFonts w:ascii="Times New Roman" w:hAnsi="Times New Roman"/>
                <w:b/>
                <w:sz w:val="16"/>
                <w:szCs w:val="16"/>
              </w:rPr>
            </w:pPr>
            <w:r w:rsidRPr="005513E2">
              <w:rPr>
                <w:rFonts w:ascii="Times New Roman" w:hAnsi="Times New Roman"/>
                <w:b/>
                <w:sz w:val="16"/>
                <w:szCs w:val="16"/>
              </w:rPr>
              <w:t>-2,4</w:t>
            </w:r>
            <w:r w:rsidR="0029705C" w:rsidRPr="005513E2">
              <w:rPr>
                <w:rFonts w:ascii="Times New Roman" w:hAnsi="Times New Roman"/>
                <w:b/>
                <w:sz w:val="16"/>
                <w:szCs w:val="16"/>
              </w:rPr>
              <w:t>9</w:t>
            </w:r>
          </w:p>
        </w:tc>
        <w:tc>
          <w:tcPr>
            <w:tcW w:w="563" w:type="dxa"/>
            <w:shd w:val="clear" w:color="auto" w:fill="FFFFFF"/>
          </w:tcPr>
          <w:p w:rsidR="00D71781" w:rsidRPr="005513E2" w:rsidRDefault="00113BE2" w:rsidP="00BE70AA">
            <w:pPr>
              <w:rPr>
                <w:rFonts w:ascii="Times New Roman" w:hAnsi="Times New Roman"/>
                <w:b/>
                <w:sz w:val="16"/>
                <w:szCs w:val="16"/>
              </w:rPr>
            </w:pPr>
            <w:r w:rsidRPr="005513E2">
              <w:rPr>
                <w:rFonts w:ascii="Times New Roman" w:hAnsi="Times New Roman"/>
                <w:b/>
                <w:sz w:val="16"/>
                <w:szCs w:val="16"/>
              </w:rPr>
              <w:t>-2,5</w:t>
            </w:r>
            <w:r w:rsidR="0029705C" w:rsidRPr="005513E2">
              <w:rPr>
                <w:rFonts w:ascii="Times New Roman" w:hAnsi="Times New Roman"/>
                <w:b/>
                <w:sz w:val="16"/>
                <w:szCs w:val="16"/>
              </w:rPr>
              <w:t>9</w:t>
            </w:r>
          </w:p>
        </w:tc>
        <w:tc>
          <w:tcPr>
            <w:tcW w:w="567" w:type="dxa"/>
            <w:gridSpan w:val="2"/>
            <w:shd w:val="clear" w:color="auto" w:fill="FFFFFF"/>
          </w:tcPr>
          <w:p w:rsidR="00D71781" w:rsidRPr="005513E2" w:rsidRDefault="00113BE2" w:rsidP="00BE70AA">
            <w:pPr>
              <w:rPr>
                <w:rFonts w:ascii="Times New Roman" w:hAnsi="Times New Roman"/>
                <w:b/>
                <w:sz w:val="16"/>
                <w:szCs w:val="16"/>
              </w:rPr>
            </w:pPr>
            <w:r w:rsidRPr="005513E2">
              <w:rPr>
                <w:rFonts w:ascii="Times New Roman" w:hAnsi="Times New Roman"/>
                <w:b/>
                <w:sz w:val="16"/>
                <w:szCs w:val="16"/>
              </w:rPr>
              <w:t>-2,</w:t>
            </w:r>
            <w:r w:rsidR="0029705C" w:rsidRPr="005513E2">
              <w:rPr>
                <w:rFonts w:ascii="Times New Roman" w:hAnsi="Times New Roman"/>
                <w:b/>
                <w:sz w:val="16"/>
                <w:szCs w:val="16"/>
              </w:rPr>
              <w:t>61</w:t>
            </w:r>
          </w:p>
        </w:tc>
        <w:tc>
          <w:tcPr>
            <w:tcW w:w="567" w:type="dxa"/>
            <w:gridSpan w:val="2"/>
            <w:shd w:val="clear" w:color="auto" w:fill="FFFFFF"/>
          </w:tcPr>
          <w:p w:rsidR="00D71781" w:rsidRPr="005513E2" w:rsidRDefault="00113BE2" w:rsidP="00BE70AA">
            <w:pPr>
              <w:rPr>
                <w:rFonts w:ascii="Times New Roman" w:hAnsi="Times New Roman"/>
                <w:b/>
                <w:sz w:val="16"/>
                <w:szCs w:val="16"/>
              </w:rPr>
            </w:pPr>
            <w:r w:rsidRPr="005513E2">
              <w:rPr>
                <w:rFonts w:ascii="Times New Roman" w:hAnsi="Times New Roman"/>
                <w:b/>
                <w:sz w:val="16"/>
                <w:szCs w:val="16"/>
              </w:rPr>
              <w:t>-2,</w:t>
            </w:r>
            <w:r w:rsidR="003D6D91">
              <w:rPr>
                <w:rFonts w:ascii="Times New Roman" w:hAnsi="Times New Roman"/>
                <w:b/>
                <w:sz w:val="16"/>
                <w:szCs w:val="16"/>
              </w:rPr>
              <w:t>74</w:t>
            </w:r>
          </w:p>
        </w:tc>
        <w:tc>
          <w:tcPr>
            <w:tcW w:w="567" w:type="dxa"/>
            <w:gridSpan w:val="2"/>
            <w:shd w:val="clear" w:color="auto" w:fill="FFFFFF"/>
          </w:tcPr>
          <w:p w:rsidR="00D71781" w:rsidRPr="005513E2" w:rsidRDefault="00113BE2" w:rsidP="0029705C">
            <w:pPr>
              <w:rPr>
                <w:rFonts w:ascii="Times New Roman" w:hAnsi="Times New Roman"/>
                <w:b/>
                <w:sz w:val="16"/>
                <w:szCs w:val="16"/>
              </w:rPr>
            </w:pPr>
            <w:r w:rsidRPr="005513E2">
              <w:rPr>
                <w:rFonts w:ascii="Times New Roman" w:hAnsi="Times New Roman"/>
                <w:b/>
                <w:sz w:val="16"/>
                <w:szCs w:val="16"/>
              </w:rPr>
              <w:t>-2,</w:t>
            </w:r>
            <w:r w:rsidR="0029705C" w:rsidRPr="005513E2">
              <w:rPr>
                <w:rFonts w:ascii="Times New Roman" w:hAnsi="Times New Roman"/>
                <w:b/>
                <w:sz w:val="16"/>
                <w:szCs w:val="16"/>
              </w:rPr>
              <w:t>65</w:t>
            </w:r>
          </w:p>
        </w:tc>
        <w:tc>
          <w:tcPr>
            <w:tcW w:w="568" w:type="dxa"/>
            <w:gridSpan w:val="2"/>
            <w:shd w:val="clear" w:color="auto" w:fill="FFFFFF"/>
          </w:tcPr>
          <w:p w:rsidR="00D71781" w:rsidRPr="005513E2" w:rsidRDefault="00113BE2" w:rsidP="00BE70AA">
            <w:pPr>
              <w:rPr>
                <w:rFonts w:ascii="Times New Roman" w:hAnsi="Times New Roman"/>
                <w:b/>
                <w:sz w:val="16"/>
                <w:szCs w:val="16"/>
              </w:rPr>
            </w:pPr>
            <w:r w:rsidRPr="005513E2">
              <w:rPr>
                <w:rFonts w:ascii="Times New Roman" w:hAnsi="Times New Roman"/>
                <w:b/>
                <w:sz w:val="16"/>
                <w:szCs w:val="16"/>
              </w:rPr>
              <w:t>-2,</w:t>
            </w:r>
            <w:r w:rsidR="001112D5" w:rsidRPr="005513E2">
              <w:rPr>
                <w:rFonts w:ascii="Times New Roman" w:hAnsi="Times New Roman"/>
                <w:b/>
                <w:sz w:val="16"/>
                <w:szCs w:val="16"/>
              </w:rPr>
              <w:t>67</w:t>
            </w:r>
          </w:p>
        </w:tc>
        <w:tc>
          <w:tcPr>
            <w:tcW w:w="567" w:type="dxa"/>
            <w:gridSpan w:val="2"/>
            <w:shd w:val="clear" w:color="auto" w:fill="FFFFFF"/>
          </w:tcPr>
          <w:p w:rsidR="00D71781" w:rsidRPr="005513E2" w:rsidRDefault="00113BE2" w:rsidP="00BE70AA">
            <w:pPr>
              <w:rPr>
                <w:rFonts w:ascii="Times New Roman" w:hAnsi="Times New Roman"/>
                <w:b/>
                <w:sz w:val="16"/>
                <w:szCs w:val="16"/>
              </w:rPr>
            </w:pPr>
            <w:r w:rsidRPr="005513E2">
              <w:rPr>
                <w:rFonts w:ascii="Times New Roman" w:hAnsi="Times New Roman"/>
                <w:b/>
                <w:sz w:val="16"/>
                <w:szCs w:val="16"/>
              </w:rPr>
              <w:t>-2,</w:t>
            </w:r>
            <w:r w:rsidR="001112D5" w:rsidRPr="005513E2">
              <w:rPr>
                <w:rFonts w:ascii="Times New Roman" w:hAnsi="Times New Roman"/>
                <w:b/>
                <w:sz w:val="16"/>
                <w:szCs w:val="16"/>
              </w:rPr>
              <w:t>69</w:t>
            </w:r>
          </w:p>
        </w:tc>
        <w:tc>
          <w:tcPr>
            <w:tcW w:w="567" w:type="dxa"/>
            <w:gridSpan w:val="2"/>
            <w:shd w:val="clear" w:color="auto" w:fill="FFFFFF"/>
          </w:tcPr>
          <w:p w:rsidR="00D71781" w:rsidRPr="005513E2" w:rsidRDefault="00716023" w:rsidP="00BE70AA">
            <w:pPr>
              <w:rPr>
                <w:rFonts w:ascii="Times New Roman" w:hAnsi="Times New Roman"/>
                <w:b/>
                <w:sz w:val="16"/>
                <w:szCs w:val="16"/>
              </w:rPr>
            </w:pPr>
            <w:r w:rsidRPr="005513E2">
              <w:rPr>
                <w:rFonts w:ascii="Times New Roman" w:hAnsi="Times New Roman"/>
                <w:b/>
                <w:sz w:val="16"/>
                <w:szCs w:val="16"/>
              </w:rPr>
              <w:t>-2,</w:t>
            </w:r>
            <w:r w:rsidR="003D6D91">
              <w:rPr>
                <w:rFonts w:ascii="Times New Roman" w:hAnsi="Times New Roman"/>
                <w:b/>
                <w:sz w:val="16"/>
                <w:szCs w:val="16"/>
              </w:rPr>
              <w:t>82</w:t>
            </w:r>
          </w:p>
        </w:tc>
        <w:tc>
          <w:tcPr>
            <w:tcW w:w="567" w:type="dxa"/>
            <w:gridSpan w:val="2"/>
            <w:shd w:val="clear" w:color="auto" w:fill="FFFFFF"/>
          </w:tcPr>
          <w:p w:rsidR="00D71781" w:rsidRPr="005513E2" w:rsidRDefault="00716023" w:rsidP="00B01669">
            <w:pPr>
              <w:rPr>
                <w:rFonts w:ascii="Times New Roman" w:hAnsi="Times New Roman"/>
                <w:b/>
                <w:sz w:val="16"/>
                <w:szCs w:val="16"/>
              </w:rPr>
            </w:pPr>
            <w:r w:rsidRPr="005513E2">
              <w:rPr>
                <w:rFonts w:ascii="Times New Roman" w:hAnsi="Times New Roman"/>
                <w:b/>
                <w:sz w:val="16"/>
                <w:szCs w:val="16"/>
              </w:rPr>
              <w:t>-</w:t>
            </w:r>
            <w:r w:rsidR="00113BE2" w:rsidRPr="005513E2">
              <w:rPr>
                <w:rFonts w:ascii="Times New Roman" w:hAnsi="Times New Roman"/>
                <w:b/>
                <w:sz w:val="16"/>
                <w:szCs w:val="16"/>
              </w:rPr>
              <w:t>2,</w:t>
            </w:r>
            <w:r w:rsidR="001112D5" w:rsidRPr="005513E2">
              <w:rPr>
                <w:rFonts w:ascii="Times New Roman" w:hAnsi="Times New Roman"/>
                <w:b/>
                <w:sz w:val="16"/>
                <w:szCs w:val="16"/>
              </w:rPr>
              <w:t>73</w:t>
            </w:r>
          </w:p>
        </w:tc>
        <w:tc>
          <w:tcPr>
            <w:tcW w:w="567" w:type="dxa"/>
            <w:shd w:val="clear" w:color="auto" w:fill="FFFFFF"/>
          </w:tcPr>
          <w:p w:rsidR="00D71781" w:rsidRPr="005513E2" w:rsidRDefault="00716023" w:rsidP="00D71781">
            <w:pPr>
              <w:rPr>
                <w:rFonts w:ascii="Times New Roman" w:hAnsi="Times New Roman"/>
                <w:b/>
                <w:sz w:val="16"/>
                <w:szCs w:val="16"/>
              </w:rPr>
            </w:pPr>
            <w:r w:rsidRPr="005513E2">
              <w:rPr>
                <w:rFonts w:ascii="Times New Roman" w:hAnsi="Times New Roman"/>
                <w:b/>
                <w:sz w:val="16"/>
                <w:szCs w:val="16"/>
              </w:rPr>
              <w:t>-</w:t>
            </w:r>
            <w:r w:rsidR="001112D5" w:rsidRPr="005513E2">
              <w:rPr>
                <w:rFonts w:ascii="Times New Roman" w:hAnsi="Times New Roman"/>
                <w:b/>
                <w:sz w:val="16"/>
                <w:szCs w:val="16"/>
              </w:rPr>
              <w:t>2,75</w:t>
            </w:r>
          </w:p>
        </w:tc>
        <w:tc>
          <w:tcPr>
            <w:tcW w:w="1452" w:type="dxa"/>
            <w:gridSpan w:val="3"/>
            <w:shd w:val="clear" w:color="auto" w:fill="FFFFFF"/>
          </w:tcPr>
          <w:p w:rsidR="00D71781" w:rsidRPr="005513E2" w:rsidRDefault="00E81ED1" w:rsidP="00B01669">
            <w:pPr>
              <w:spacing w:line="240" w:lineRule="auto"/>
              <w:rPr>
                <w:rFonts w:ascii="Times New Roman" w:hAnsi="Times New Roman"/>
                <w:b/>
                <w:sz w:val="18"/>
                <w:szCs w:val="18"/>
              </w:rPr>
            </w:pPr>
            <w:r w:rsidRPr="005513E2">
              <w:rPr>
                <w:rFonts w:ascii="Times New Roman" w:hAnsi="Times New Roman"/>
                <w:b/>
                <w:sz w:val="18"/>
                <w:szCs w:val="18"/>
              </w:rPr>
              <w:t>-2</w:t>
            </w:r>
            <w:r w:rsidR="00C33898">
              <w:rPr>
                <w:rFonts w:ascii="Times New Roman" w:hAnsi="Times New Roman"/>
                <w:b/>
                <w:sz w:val="18"/>
                <w:szCs w:val="18"/>
              </w:rPr>
              <w:t>7,78</w:t>
            </w:r>
          </w:p>
        </w:tc>
      </w:tr>
      <w:tr w:rsidR="00113BE2" w:rsidRPr="00A13566" w:rsidTr="001112D5">
        <w:trPr>
          <w:trHeight w:val="360"/>
        </w:trPr>
        <w:tc>
          <w:tcPr>
            <w:tcW w:w="3112" w:type="dxa"/>
            <w:gridSpan w:val="4"/>
            <w:shd w:val="clear" w:color="auto" w:fill="FFFFFF"/>
            <w:vAlign w:val="center"/>
          </w:tcPr>
          <w:p w:rsidR="00113BE2" w:rsidRPr="00A13566" w:rsidRDefault="00113BE2" w:rsidP="00113BE2">
            <w:pPr>
              <w:spacing w:line="240" w:lineRule="auto"/>
              <w:rPr>
                <w:rFonts w:ascii="Times New Roman" w:hAnsi="Times New Roman"/>
                <w:color w:val="000000"/>
                <w:sz w:val="18"/>
                <w:szCs w:val="18"/>
              </w:rPr>
            </w:pPr>
            <w:r w:rsidRPr="00A13566">
              <w:rPr>
                <w:rFonts w:ascii="Times New Roman" w:hAnsi="Times New Roman"/>
                <w:color w:val="000000"/>
                <w:sz w:val="18"/>
                <w:szCs w:val="18"/>
              </w:rPr>
              <w:t>budżet państwa</w:t>
            </w:r>
          </w:p>
        </w:tc>
        <w:tc>
          <w:tcPr>
            <w:tcW w:w="716" w:type="dxa"/>
            <w:gridSpan w:val="2"/>
            <w:shd w:val="clear" w:color="auto" w:fill="FFFFFF"/>
          </w:tcPr>
          <w:p w:rsidR="00113BE2" w:rsidRPr="005513E2" w:rsidRDefault="001112D5" w:rsidP="00113BE2">
            <w:pPr>
              <w:spacing w:line="240" w:lineRule="auto"/>
              <w:rPr>
                <w:rFonts w:ascii="Times New Roman" w:hAnsi="Times New Roman"/>
                <w:sz w:val="16"/>
                <w:szCs w:val="18"/>
              </w:rPr>
            </w:pPr>
            <w:r w:rsidRPr="005513E2">
              <w:rPr>
                <w:rFonts w:ascii="Times New Roman" w:hAnsi="Times New Roman"/>
                <w:sz w:val="16"/>
                <w:szCs w:val="18"/>
              </w:rPr>
              <w:t>-1,353</w:t>
            </w:r>
          </w:p>
        </w:tc>
        <w:tc>
          <w:tcPr>
            <w:tcW w:w="567" w:type="dxa"/>
            <w:gridSpan w:val="2"/>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-3,4</w:t>
            </w:r>
            <w:r w:rsidR="009B70C9" w:rsidRPr="005513E2">
              <w:rPr>
                <w:rFonts w:ascii="Times New Roman" w:hAnsi="Times New Roman"/>
                <w:sz w:val="16"/>
                <w:szCs w:val="18"/>
              </w:rPr>
              <w:t>2</w:t>
            </w:r>
          </w:p>
        </w:tc>
        <w:tc>
          <w:tcPr>
            <w:tcW w:w="563" w:type="dxa"/>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w:t>
            </w:r>
            <w:r w:rsidR="00FF3B9D" w:rsidRPr="005513E2">
              <w:rPr>
                <w:rFonts w:ascii="Times New Roman" w:hAnsi="Times New Roman"/>
                <w:sz w:val="16"/>
                <w:szCs w:val="18"/>
              </w:rPr>
              <w:t>52</w:t>
            </w:r>
          </w:p>
        </w:tc>
        <w:tc>
          <w:tcPr>
            <w:tcW w:w="567" w:type="dxa"/>
            <w:gridSpan w:val="2"/>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w:t>
            </w:r>
            <w:r w:rsidR="00FF3B9D" w:rsidRPr="005513E2">
              <w:rPr>
                <w:rFonts w:ascii="Times New Roman" w:hAnsi="Times New Roman"/>
                <w:sz w:val="16"/>
                <w:szCs w:val="18"/>
              </w:rPr>
              <w:t>5</w:t>
            </w:r>
            <w:r w:rsidR="009B70C9" w:rsidRPr="005513E2">
              <w:rPr>
                <w:rFonts w:ascii="Times New Roman" w:hAnsi="Times New Roman"/>
                <w:sz w:val="16"/>
                <w:szCs w:val="18"/>
              </w:rPr>
              <w:t>4</w:t>
            </w:r>
          </w:p>
        </w:tc>
        <w:tc>
          <w:tcPr>
            <w:tcW w:w="567" w:type="dxa"/>
            <w:gridSpan w:val="2"/>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w:t>
            </w:r>
            <w:r w:rsidR="003D6D91">
              <w:rPr>
                <w:rFonts w:ascii="Times New Roman" w:hAnsi="Times New Roman"/>
                <w:sz w:val="16"/>
                <w:szCs w:val="18"/>
              </w:rPr>
              <w:t>67</w:t>
            </w:r>
          </w:p>
        </w:tc>
        <w:tc>
          <w:tcPr>
            <w:tcW w:w="567" w:type="dxa"/>
            <w:gridSpan w:val="2"/>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w:t>
            </w:r>
            <w:r w:rsidR="00FF3B9D" w:rsidRPr="005513E2">
              <w:rPr>
                <w:rFonts w:ascii="Times New Roman" w:hAnsi="Times New Roman"/>
                <w:sz w:val="16"/>
                <w:szCs w:val="18"/>
              </w:rPr>
              <w:t>58</w:t>
            </w:r>
          </w:p>
        </w:tc>
        <w:tc>
          <w:tcPr>
            <w:tcW w:w="568" w:type="dxa"/>
            <w:gridSpan w:val="2"/>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w:t>
            </w:r>
            <w:r w:rsidR="00FF3B9D" w:rsidRPr="005513E2">
              <w:rPr>
                <w:rFonts w:ascii="Times New Roman" w:hAnsi="Times New Roman"/>
                <w:sz w:val="16"/>
                <w:szCs w:val="18"/>
              </w:rPr>
              <w:t>60</w:t>
            </w:r>
          </w:p>
        </w:tc>
        <w:tc>
          <w:tcPr>
            <w:tcW w:w="567" w:type="dxa"/>
            <w:gridSpan w:val="2"/>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w:t>
            </w:r>
            <w:r w:rsidR="00FF3B9D" w:rsidRPr="005513E2">
              <w:rPr>
                <w:rFonts w:ascii="Times New Roman" w:hAnsi="Times New Roman"/>
                <w:sz w:val="16"/>
                <w:szCs w:val="18"/>
              </w:rPr>
              <w:t>62</w:t>
            </w:r>
          </w:p>
        </w:tc>
        <w:tc>
          <w:tcPr>
            <w:tcW w:w="567" w:type="dxa"/>
            <w:gridSpan w:val="2"/>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w:t>
            </w:r>
            <w:r w:rsidR="003D6D91">
              <w:rPr>
                <w:rFonts w:ascii="Times New Roman" w:hAnsi="Times New Roman"/>
                <w:sz w:val="16"/>
                <w:szCs w:val="18"/>
              </w:rPr>
              <w:t>75</w:t>
            </w:r>
          </w:p>
        </w:tc>
        <w:tc>
          <w:tcPr>
            <w:tcW w:w="567" w:type="dxa"/>
            <w:gridSpan w:val="2"/>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w:t>
            </w:r>
            <w:r w:rsidR="00FF3B9D" w:rsidRPr="005513E2">
              <w:rPr>
                <w:rFonts w:ascii="Times New Roman" w:hAnsi="Times New Roman"/>
                <w:sz w:val="16"/>
                <w:szCs w:val="18"/>
              </w:rPr>
              <w:t>66</w:t>
            </w:r>
          </w:p>
        </w:tc>
        <w:tc>
          <w:tcPr>
            <w:tcW w:w="567" w:type="dxa"/>
            <w:shd w:val="clear" w:color="auto" w:fill="FFFFFF"/>
          </w:tcPr>
          <w:p w:rsidR="00113BE2" w:rsidRPr="005513E2" w:rsidRDefault="00113BE2" w:rsidP="009B70C9">
            <w:pPr>
              <w:spacing w:line="240" w:lineRule="auto"/>
              <w:rPr>
                <w:rFonts w:ascii="Times New Roman" w:hAnsi="Times New Roman"/>
                <w:sz w:val="16"/>
                <w:szCs w:val="18"/>
              </w:rPr>
            </w:pPr>
            <w:r w:rsidRPr="005513E2">
              <w:rPr>
                <w:rFonts w:ascii="Times New Roman" w:hAnsi="Times New Roman"/>
                <w:sz w:val="16"/>
                <w:szCs w:val="18"/>
              </w:rPr>
              <w:t>-3,</w:t>
            </w:r>
            <w:r w:rsidR="00E9540C" w:rsidRPr="005513E2">
              <w:rPr>
                <w:rFonts w:ascii="Times New Roman" w:hAnsi="Times New Roman"/>
                <w:sz w:val="16"/>
                <w:szCs w:val="18"/>
              </w:rPr>
              <w:t>68</w:t>
            </w:r>
          </w:p>
        </w:tc>
        <w:tc>
          <w:tcPr>
            <w:tcW w:w="1452" w:type="dxa"/>
            <w:gridSpan w:val="3"/>
            <w:shd w:val="clear" w:color="auto" w:fill="FFFFFF"/>
          </w:tcPr>
          <w:p w:rsidR="00113BE2" w:rsidRPr="005513E2" w:rsidRDefault="00E81ED1" w:rsidP="009B70C9">
            <w:pPr>
              <w:spacing w:line="240" w:lineRule="auto"/>
              <w:rPr>
                <w:rFonts w:ascii="Times New Roman" w:hAnsi="Times New Roman"/>
                <w:sz w:val="18"/>
                <w:szCs w:val="18"/>
              </w:rPr>
            </w:pPr>
            <w:r w:rsidRPr="005513E2">
              <w:rPr>
                <w:rFonts w:ascii="Times New Roman" w:hAnsi="Times New Roman"/>
                <w:sz w:val="18"/>
                <w:szCs w:val="18"/>
              </w:rPr>
              <w:t>-3</w:t>
            </w:r>
            <w:r w:rsidR="00C33898">
              <w:rPr>
                <w:rFonts w:ascii="Times New Roman" w:hAnsi="Times New Roman"/>
                <w:sz w:val="18"/>
                <w:szCs w:val="18"/>
              </w:rPr>
              <w:t>7,39</w:t>
            </w:r>
            <w:r w:rsidR="00E9540C" w:rsidRPr="005513E2">
              <w:rPr>
                <w:rFonts w:ascii="Times New Roman" w:hAnsi="Times New Roman"/>
                <w:sz w:val="18"/>
                <w:szCs w:val="18"/>
              </w:rPr>
              <w:t>3</w:t>
            </w:r>
          </w:p>
        </w:tc>
      </w:tr>
      <w:tr w:rsidR="00113BE2" w:rsidRPr="00A13566" w:rsidTr="001112D5">
        <w:trPr>
          <w:trHeight w:val="360"/>
        </w:trPr>
        <w:tc>
          <w:tcPr>
            <w:tcW w:w="3112" w:type="dxa"/>
            <w:gridSpan w:val="4"/>
            <w:shd w:val="clear" w:color="auto" w:fill="FFFFFF"/>
            <w:vAlign w:val="center"/>
          </w:tcPr>
          <w:p w:rsidR="00113BE2" w:rsidRPr="00113BE2" w:rsidRDefault="00113BE2" w:rsidP="00113BE2">
            <w:pPr>
              <w:spacing w:line="240" w:lineRule="auto"/>
              <w:rPr>
                <w:rFonts w:ascii="Times New Roman" w:hAnsi="Times New Roman"/>
                <w:color w:val="000000"/>
                <w:sz w:val="18"/>
                <w:szCs w:val="18"/>
              </w:rPr>
            </w:pPr>
            <w:r w:rsidRPr="00113BE2">
              <w:rPr>
                <w:rFonts w:ascii="Times New Roman" w:hAnsi="Times New Roman"/>
                <w:color w:val="000000"/>
                <w:sz w:val="18"/>
                <w:szCs w:val="18"/>
              </w:rPr>
              <w:t>Fundusz Ubezpieczeń Społecznych</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0,21</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0,64</w:t>
            </w:r>
          </w:p>
        </w:tc>
        <w:tc>
          <w:tcPr>
            <w:tcW w:w="567" w:type="dxa"/>
            <w:shd w:val="clear" w:color="auto" w:fill="FFFFFF"/>
          </w:tcPr>
          <w:p w:rsidR="00113BE2" w:rsidRPr="00A627B9" w:rsidRDefault="00113BE2" w:rsidP="00113BE2">
            <w:pPr>
              <w:spacing w:line="240" w:lineRule="auto"/>
              <w:rPr>
                <w:rFonts w:ascii="Times New Roman" w:hAnsi="Times New Roman"/>
                <w:sz w:val="18"/>
                <w:szCs w:val="18"/>
              </w:rPr>
            </w:pPr>
            <w:r w:rsidRPr="00A627B9">
              <w:rPr>
                <w:rFonts w:ascii="Times New Roman" w:hAnsi="Times New Roman"/>
                <w:sz w:val="18"/>
                <w:szCs w:val="18"/>
              </w:rPr>
              <w:t>0,64</w:t>
            </w:r>
          </w:p>
        </w:tc>
        <w:tc>
          <w:tcPr>
            <w:tcW w:w="1452" w:type="dxa"/>
            <w:gridSpan w:val="3"/>
            <w:shd w:val="clear" w:color="auto" w:fill="FFFFFF"/>
          </w:tcPr>
          <w:p w:rsidR="00113BE2" w:rsidRPr="005513E2" w:rsidRDefault="00E81ED1" w:rsidP="00113BE2">
            <w:pPr>
              <w:spacing w:line="240" w:lineRule="auto"/>
              <w:rPr>
                <w:rFonts w:ascii="Times New Roman" w:hAnsi="Times New Roman"/>
                <w:sz w:val="18"/>
                <w:szCs w:val="18"/>
              </w:rPr>
            </w:pPr>
            <w:r w:rsidRPr="005513E2">
              <w:rPr>
                <w:rFonts w:ascii="Times New Roman" w:hAnsi="Times New Roman"/>
                <w:sz w:val="18"/>
                <w:szCs w:val="18"/>
              </w:rPr>
              <w:t>6,61</w:t>
            </w:r>
          </w:p>
        </w:tc>
      </w:tr>
      <w:tr w:rsidR="00113BE2" w:rsidRPr="00A13566" w:rsidTr="001112D5">
        <w:trPr>
          <w:trHeight w:val="360"/>
        </w:trPr>
        <w:tc>
          <w:tcPr>
            <w:tcW w:w="3112" w:type="dxa"/>
            <w:gridSpan w:val="4"/>
            <w:shd w:val="clear" w:color="auto" w:fill="FFFFFF"/>
            <w:vAlign w:val="center"/>
          </w:tcPr>
          <w:p w:rsidR="00113BE2" w:rsidRPr="00113BE2" w:rsidRDefault="00113BE2" w:rsidP="00113BE2">
            <w:pPr>
              <w:spacing w:line="240" w:lineRule="auto"/>
              <w:rPr>
                <w:rFonts w:ascii="Times New Roman" w:hAnsi="Times New Roman"/>
                <w:color w:val="000000"/>
                <w:sz w:val="18"/>
                <w:szCs w:val="18"/>
              </w:rPr>
            </w:pPr>
            <w:r w:rsidRPr="00113BE2">
              <w:rPr>
                <w:rFonts w:ascii="Times New Roman" w:hAnsi="Times New Roman"/>
                <w:color w:val="000000"/>
                <w:sz w:val="18"/>
                <w:szCs w:val="18"/>
              </w:rPr>
              <w:t>Fundusz Pracy</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0,017</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0,05</w:t>
            </w:r>
          </w:p>
        </w:tc>
        <w:tc>
          <w:tcPr>
            <w:tcW w:w="1452" w:type="dxa"/>
            <w:gridSpan w:val="3"/>
            <w:shd w:val="clear" w:color="auto" w:fill="FFFFFF"/>
          </w:tcPr>
          <w:p w:rsidR="00113BE2" w:rsidRPr="005513E2" w:rsidRDefault="009D41AA" w:rsidP="00113BE2">
            <w:pPr>
              <w:spacing w:line="240" w:lineRule="auto"/>
              <w:rPr>
                <w:rFonts w:ascii="Times New Roman" w:hAnsi="Times New Roman"/>
                <w:sz w:val="18"/>
                <w:szCs w:val="18"/>
              </w:rPr>
            </w:pPr>
            <w:r w:rsidRPr="005513E2">
              <w:rPr>
                <w:rFonts w:ascii="Times New Roman" w:hAnsi="Times New Roman"/>
                <w:sz w:val="18"/>
                <w:szCs w:val="18"/>
              </w:rPr>
              <w:t>0,517</w:t>
            </w:r>
          </w:p>
        </w:tc>
      </w:tr>
      <w:tr w:rsidR="00113BE2" w:rsidRPr="00A13566" w:rsidTr="001112D5">
        <w:trPr>
          <w:trHeight w:val="360"/>
        </w:trPr>
        <w:tc>
          <w:tcPr>
            <w:tcW w:w="3112" w:type="dxa"/>
            <w:gridSpan w:val="4"/>
            <w:shd w:val="clear" w:color="auto" w:fill="FFFFFF"/>
            <w:vAlign w:val="center"/>
          </w:tcPr>
          <w:p w:rsidR="00113BE2" w:rsidRPr="00113BE2" w:rsidRDefault="00113BE2" w:rsidP="00113BE2">
            <w:pPr>
              <w:spacing w:line="240" w:lineRule="auto"/>
              <w:rPr>
                <w:rFonts w:ascii="Times New Roman" w:hAnsi="Times New Roman"/>
                <w:color w:val="000000"/>
                <w:sz w:val="18"/>
                <w:szCs w:val="18"/>
              </w:rPr>
            </w:pPr>
            <w:r w:rsidRPr="00113BE2">
              <w:rPr>
                <w:rFonts w:ascii="Times New Roman" w:hAnsi="Times New Roman"/>
                <w:color w:val="000000"/>
                <w:sz w:val="18"/>
                <w:szCs w:val="18"/>
              </w:rPr>
              <w:t>Fundusz Gwarantowanych Świadczeń Pracowniczych</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0,000</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3" w:type="dxa"/>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8"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567" w:type="dxa"/>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0,002</w:t>
            </w:r>
          </w:p>
        </w:tc>
        <w:tc>
          <w:tcPr>
            <w:tcW w:w="1452" w:type="dxa"/>
            <w:gridSpan w:val="3"/>
            <w:shd w:val="clear" w:color="auto" w:fill="FFFFFF"/>
          </w:tcPr>
          <w:p w:rsidR="00113BE2" w:rsidRPr="005513E2" w:rsidRDefault="009D41AA" w:rsidP="00113BE2">
            <w:pPr>
              <w:spacing w:line="240" w:lineRule="auto"/>
              <w:rPr>
                <w:rFonts w:ascii="Times New Roman" w:hAnsi="Times New Roman"/>
                <w:sz w:val="18"/>
                <w:szCs w:val="18"/>
              </w:rPr>
            </w:pPr>
            <w:r w:rsidRPr="005513E2">
              <w:rPr>
                <w:rFonts w:ascii="Times New Roman" w:hAnsi="Times New Roman"/>
                <w:sz w:val="18"/>
                <w:szCs w:val="18"/>
              </w:rPr>
              <w:t>0,02</w:t>
            </w:r>
          </w:p>
        </w:tc>
      </w:tr>
      <w:tr w:rsidR="00113BE2" w:rsidRPr="00A13566" w:rsidTr="001112D5">
        <w:trPr>
          <w:trHeight w:val="360"/>
        </w:trPr>
        <w:tc>
          <w:tcPr>
            <w:tcW w:w="3112" w:type="dxa"/>
            <w:gridSpan w:val="4"/>
            <w:shd w:val="clear" w:color="auto" w:fill="FFFFFF"/>
            <w:vAlign w:val="center"/>
          </w:tcPr>
          <w:p w:rsidR="00113BE2" w:rsidRPr="00113BE2" w:rsidRDefault="00113BE2" w:rsidP="00113BE2">
            <w:pPr>
              <w:spacing w:line="240" w:lineRule="auto"/>
              <w:rPr>
                <w:rFonts w:ascii="Times New Roman" w:hAnsi="Times New Roman"/>
                <w:color w:val="000000"/>
                <w:sz w:val="18"/>
                <w:szCs w:val="18"/>
              </w:rPr>
            </w:pPr>
            <w:r w:rsidRPr="00113BE2">
              <w:rPr>
                <w:rFonts w:ascii="Times New Roman" w:hAnsi="Times New Roman"/>
                <w:color w:val="000000"/>
                <w:sz w:val="18"/>
                <w:szCs w:val="18"/>
              </w:rPr>
              <w:t>Narodowy Fundusz Zdrowia</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0,053</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0,16</w:t>
            </w:r>
          </w:p>
        </w:tc>
        <w:tc>
          <w:tcPr>
            <w:tcW w:w="1452" w:type="dxa"/>
            <w:gridSpan w:val="3"/>
            <w:shd w:val="clear" w:color="auto" w:fill="FFFFFF"/>
          </w:tcPr>
          <w:p w:rsidR="00113BE2" w:rsidRPr="005513E2" w:rsidRDefault="009D41AA" w:rsidP="00113BE2">
            <w:pPr>
              <w:spacing w:line="240" w:lineRule="auto"/>
              <w:rPr>
                <w:rFonts w:ascii="Times New Roman" w:hAnsi="Times New Roman"/>
                <w:sz w:val="18"/>
                <w:szCs w:val="18"/>
              </w:rPr>
            </w:pPr>
            <w:r w:rsidRPr="005513E2">
              <w:rPr>
                <w:rFonts w:ascii="Times New Roman" w:hAnsi="Times New Roman"/>
                <w:sz w:val="18"/>
                <w:szCs w:val="18"/>
              </w:rPr>
              <w:t>1,653</w:t>
            </w:r>
          </w:p>
        </w:tc>
      </w:tr>
      <w:tr w:rsidR="00113BE2" w:rsidRPr="00A13566" w:rsidTr="001112D5">
        <w:trPr>
          <w:trHeight w:val="357"/>
        </w:trPr>
        <w:tc>
          <w:tcPr>
            <w:tcW w:w="3112" w:type="dxa"/>
            <w:gridSpan w:val="4"/>
            <w:shd w:val="clear" w:color="auto" w:fill="FFFFFF"/>
            <w:vAlign w:val="center"/>
          </w:tcPr>
          <w:p w:rsidR="00113BE2" w:rsidRPr="00A13566" w:rsidRDefault="00113BE2" w:rsidP="00113BE2">
            <w:pPr>
              <w:spacing w:line="240" w:lineRule="auto"/>
              <w:rPr>
                <w:rFonts w:ascii="Times New Roman" w:hAnsi="Times New Roman"/>
                <w:color w:val="000000"/>
                <w:sz w:val="18"/>
                <w:szCs w:val="18"/>
              </w:rPr>
            </w:pPr>
            <w:r w:rsidRPr="00A13566">
              <w:rPr>
                <w:rFonts w:ascii="Times New Roman" w:hAnsi="Times New Roman"/>
                <w:color w:val="000000"/>
                <w:sz w:val="18"/>
                <w:szCs w:val="18"/>
              </w:rPr>
              <w:t>JST</w:t>
            </w:r>
          </w:p>
        </w:tc>
        <w:tc>
          <w:tcPr>
            <w:tcW w:w="716" w:type="dxa"/>
            <w:gridSpan w:val="2"/>
            <w:shd w:val="clear" w:color="auto" w:fill="FFFFFF"/>
          </w:tcPr>
          <w:p w:rsidR="00113BE2" w:rsidRPr="005513E2" w:rsidRDefault="00113BE2" w:rsidP="00113BE2">
            <w:pPr>
              <w:spacing w:line="240" w:lineRule="auto"/>
              <w:rPr>
                <w:rFonts w:ascii="Times New Roman" w:hAnsi="Times New Roman"/>
                <w:sz w:val="14"/>
                <w:szCs w:val="18"/>
              </w:rPr>
            </w:pPr>
            <w:r w:rsidRPr="005513E2">
              <w:rPr>
                <w:rFonts w:ascii="Times New Roman" w:hAnsi="Times New Roman"/>
                <w:sz w:val="14"/>
                <w:szCs w:val="18"/>
              </w:rPr>
              <w:t>0,027</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r w:rsidRPr="005513E2">
              <w:rPr>
                <w:rFonts w:ascii="Times New Roman" w:hAnsi="Times New Roman"/>
                <w:sz w:val="18"/>
                <w:szCs w:val="18"/>
              </w:rPr>
              <w:t>0,08</w:t>
            </w:r>
          </w:p>
        </w:tc>
        <w:tc>
          <w:tcPr>
            <w:tcW w:w="1452" w:type="dxa"/>
            <w:gridSpan w:val="3"/>
            <w:shd w:val="clear" w:color="auto" w:fill="FFFFFF"/>
          </w:tcPr>
          <w:p w:rsidR="00113BE2" w:rsidRPr="005513E2" w:rsidRDefault="009D41AA" w:rsidP="00113BE2">
            <w:pPr>
              <w:spacing w:line="240" w:lineRule="auto"/>
              <w:rPr>
                <w:rFonts w:ascii="Times New Roman" w:hAnsi="Times New Roman"/>
                <w:sz w:val="18"/>
                <w:szCs w:val="18"/>
              </w:rPr>
            </w:pPr>
            <w:r w:rsidRPr="005513E2">
              <w:rPr>
                <w:rFonts w:ascii="Times New Roman" w:hAnsi="Times New Roman"/>
                <w:sz w:val="18"/>
                <w:szCs w:val="18"/>
              </w:rPr>
              <w:t>0,827</w:t>
            </w:r>
          </w:p>
        </w:tc>
      </w:tr>
      <w:tr w:rsidR="00113BE2" w:rsidRPr="00A13566" w:rsidTr="001112D5">
        <w:trPr>
          <w:trHeight w:val="357"/>
        </w:trPr>
        <w:tc>
          <w:tcPr>
            <w:tcW w:w="3112" w:type="dxa"/>
            <w:gridSpan w:val="4"/>
            <w:shd w:val="clear" w:color="auto" w:fill="FFFFFF"/>
            <w:vAlign w:val="center"/>
          </w:tcPr>
          <w:p w:rsidR="00113BE2" w:rsidRPr="00A13566" w:rsidRDefault="00113BE2" w:rsidP="00113BE2">
            <w:pPr>
              <w:spacing w:line="240" w:lineRule="auto"/>
              <w:rPr>
                <w:rFonts w:ascii="Times New Roman" w:hAnsi="Times New Roman"/>
                <w:color w:val="000000"/>
                <w:sz w:val="18"/>
                <w:szCs w:val="18"/>
              </w:rPr>
            </w:pPr>
            <w:r w:rsidRPr="00A13566">
              <w:rPr>
                <w:rFonts w:ascii="Times New Roman" w:hAnsi="Times New Roman"/>
                <w:color w:val="000000"/>
                <w:sz w:val="18"/>
                <w:szCs w:val="18"/>
              </w:rPr>
              <w:t>pozostałe jednostki (oddzielnie)</w:t>
            </w:r>
          </w:p>
        </w:tc>
        <w:tc>
          <w:tcPr>
            <w:tcW w:w="716" w:type="dxa"/>
            <w:gridSpan w:val="2"/>
            <w:shd w:val="clear" w:color="auto" w:fill="FFFFFF"/>
          </w:tcPr>
          <w:p w:rsidR="00113BE2" w:rsidRPr="005513E2" w:rsidRDefault="00113BE2" w:rsidP="00113BE2">
            <w:pPr>
              <w:spacing w:line="240" w:lineRule="auto"/>
              <w:rPr>
                <w:rFonts w:ascii="Times New Roman" w:hAnsi="Times New Roman"/>
                <w:sz w:val="18"/>
                <w:szCs w:val="18"/>
              </w:rPr>
            </w:pP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p>
        </w:tc>
        <w:tc>
          <w:tcPr>
            <w:tcW w:w="563" w:type="dxa"/>
            <w:shd w:val="clear" w:color="auto" w:fill="FFFFFF"/>
          </w:tcPr>
          <w:p w:rsidR="00113BE2" w:rsidRPr="005513E2" w:rsidRDefault="00113BE2" w:rsidP="00113BE2">
            <w:pPr>
              <w:spacing w:line="240" w:lineRule="auto"/>
              <w:rPr>
                <w:rFonts w:ascii="Times New Roman" w:hAnsi="Times New Roman"/>
                <w:sz w:val="18"/>
                <w:szCs w:val="18"/>
              </w:rPr>
            </w:pP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p>
        </w:tc>
        <w:tc>
          <w:tcPr>
            <w:tcW w:w="568" w:type="dxa"/>
            <w:gridSpan w:val="2"/>
            <w:shd w:val="clear" w:color="auto" w:fill="FFFFFF"/>
          </w:tcPr>
          <w:p w:rsidR="00113BE2" w:rsidRPr="005513E2" w:rsidRDefault="00113BE2" w:rsidP="00113BE2">
            <w:pPr>
              <w:spacing w:line="240" w:lineRule="auto"/>
              <w:rPr>
                <w:rFonts w:ascii="Times New Roman" w:hAnsi="Times New Roman"/>
                <w:sz w:val="18"/>
                <w:szCs w:val="18"/>
              </w:rPr>
            </w:pP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p>
        </w:tc>
        <w:tc>
          <w:tcPr>
            <w:tcW w:w="567" w:type="dxa"/>
            <w:gridSpan w:val="2"/>
            <w:shd w:val="clear" w:color="auto" w:fill="FFFFFF"/>
          </w:tcPr>
          <w:p w:rsidR="00113BE2" w:rsidRPr="005513E2" w:rsidRDefault="00113BE2" w:rsidP="00113BE2">
            <w:pPr>
              <w:spacing w:line="240" w:lineRule="auto"/>
              <w:rPr>
                <w:rFonts w:ascii="Times New Roman" w:hAnsi="Times New Roman"/>
                <w:sz w:val="18"/>
                <w:szCs w:val="18"/>
              </w:rPr>
            </w:pPr>
          </w:p>
        </w:tc>
        <w:tc>
          <w:tcPr>
            <w:tcW w:w="567" w:type="dxa"/>
            <w:shd w:val="clear" w:color="auto" w:fill="FFFFFF"/>
          </w:tcPr>
          <w:p w:rsidR="00113BE2" w:rsidRPr="005513E2" w:rsidRDefault="00113BE2" w:rsidP="00113BE2">
            <w:pPr>
              <w:spacing w:line="240" w:lineRule="auto"/>
              <w:rPr>
                <w:rFonts w:ascii="Times New Roman" w:hAnsi="Times New Roman"/>
                <w:sz w:val="18"/>
                <w:szCs w:val="18"/>
              </w:rPr>
            </w:pPr>
          </w:p>
        </w:tc>
        <w:tc>
          <w:tcPr>
            <w:tcW w:w="1452" w:type="dxa"/>
            <w:gridSpan w:val="3"/>
            <w:shd w:val="clear" w:color="auto" w:fill="FFFFFF"/>
          </w:tcPr>
          <w:p w:rsidR="00113BE2" w:rsidRPr="005513E2" w:rsidRDefault="00113BE2" w:rsidP="00113BE2">
            <w:pPr>
              <w:spacing w:line="240" w:lineRule="auto"/>
              <w:rPr>
                <w:rFonts w:ascii="Times New Roman" w:hAnsi="Times New Roman"/>
                <w:sz w:val="18"/>
                <w:szCs w:val="18"/>
              </w:rPr>
            </w:pPr>
          </w:p>
        </w:tc>
      </w:tr>
      <w:tr w:rsidR="00113BE2" w:rsidRPr="00843F77" w:rsidTr="001112D5">
        <w:trPr>
          <w:gridAfter w:val="1"/>
          <w:wAfter w:w="10" w:type="dxa"/>
          <w:trHeight w:val="876"/>
        </w:trPr>
        <w:tc>
          <w:tcPr>
            <w:tcW w:w="2237" w:type="dxa"/>
            <w:gridSpan w:val="2"/>
            <w:shd w:val="clear" w:color="auto" w:fill="FFFFFF"/>
            <w:vAlign w:val="center"/>
          </w:tcPr>
          <w:p w:rsidR="00113BE2" w:rsidRPr="00843F77" w:rsidRDefault="00113BE2" w:rsidP="00113BE2">
            <w:pPr>
              <w:spacing w:line="240" w:lineRule="auto"/>
              <w:rPr>
                <w:rFonts w:ascii="Times New Roman" w:hAnsi="Times New Roman"/>
                <w:color w:val="000000"/>
                <w:sz w:val="21"/>
                <w:szCs w:val="21"/>
              </w:rPr>
            </w:pPr>
            <w:r w:rsidRPr="00843F77">
              <w:rPr>
                <w:rFonts w:ascii="Times New Roman" w:hAnsi="Times New Roman"/>
                <w:color w:val="000000"/>
                <w:sz w:val="21"/>
                <w:szCs w:val="21"/>
              </w:rPr>
              <w:t xml:space="preserve">Źródła finansowania </w:t>
            </w:r>
          </w:p>
        </w:tc>
        <w:tc>
          <w:tcPr>
            <w:tcW w:w="8700" w:type="dxa"/>
            <w:gridSpan w:val="24"/>
            <w:shd w:val="clear" w:color="auto" w:fill="FFFFFF"/>
            <w:vAlign w:val="center"/>
          </w:tcPr>
          <w:p w:rsidR="00113BE2" w:rsidRDefault="00113BE2" w:rsidP="00113BE2">
            <w:pPr>
              <w:pStyle w:val="Zwykytekst"/>
              <w:jc w:val="both"/>
              <w:rPr>
                <w:rFonts w:ascii="Times New Roman" w:hAnsi="Times New Roman"/>
              </w:rPr>
            </w:pPr>
          </w:p>
          <w:p w:rsidR="00113BE2" w:rsidRDefault="00113BE2" w:rsidP="00113BE2">
            <w:pPr>
              <w:pStyle w:val="Zwykytekst"/>
              <w:jc w:val="both"/>
              <w:rPr>
                <w:rFonts w:ascii="Times New Roman" w:hAnsi="Times New Roman"/>
              </w:rPr>
            </w:pPr>
            <w:r w:rsidRPr="00843F77">
              <w:rPr>
                <w:rFonts w:ascii="Times New Roman" w:hAnsi="Times New Roman"/>
              </w:rPr>
              <w:t xml:space="preserve">Źródłem finansowania Narodowego Centrum </w:t>
            </w:r>
            <w:r>
              <w:rPr>
                <w:rFonts w:ascii="Times New Roman" w:hAnsi="Times New Roman"/>
              </w:rPr>
              <w:t xml:space="preserve">w 2017 r. </w:t>
            </w:r>
            <w:r w:rsidRPr="00843F77">
              <w:rPr>
                <w:rFonts w:ascii="Times New Roman" w:hAnsi="Times New Roman"/>
              </w:rPr>
              <w:t>są środki z</w:t>
            </w:r>
            <w:r>
              <w:rPr>
                <w:rFonts w:ascii="Times New Roman" w:hAnsi="Times New Roman"/>
              </w:rPr>
              <w:t>apisane w</w:t>
            </w:r>
            <w:r w:rsidRPr="00843F77">
              <w:rPr>
                <w:rFonts w:ascii="Times New Roman" w:hAnsi="Times New Roman"/>
              </w:rPr>
              <w:t xml:space="preserve"> </w:t>
            </w:r>
            <w:r>
              <w:rPr>
                <w:rFonts w:ascii="Times New Roman" w:hAnsi="Times New Roman"/>
              </w:rPr>
              <w:t>rezerwie</w:t>
            </w:r>
            <w:r w:rsidRPr="004102B6">
              <w:rPr>
                <w:rFonts w:ascii="Times New Roman" w:hAnsi="Times New Roman"/>
              </w:rPr>
              <w:t xml:space="preserve"> </w:t>
            </w:r>
            <w:r>
              <w:rPr>
                <w:rFonts w:ascii="Times New Roman" w:hAnsi="Times New Roman"/>
              </w:rPr>
              <w:t>ogólnej budżetu będące w dyspozycji Prezesa Rady Ministrów w wysokości 1</w:t>
            </w:r>
            <w:r w:rsidRPr="00843F77">
              <w:rPr>
                <w:rFonts w:ascii="Times New Roman" w:hAnsi="Times New Roman"/>
              </w:rPr>
              <w:t>.</w:t>
            </w:r>
            <w:r>
              <w:rPr>
                <w:rFonts w:ascii="Times New Roman" w:hAnsi="Times New Roman"/>
              </w:rPr>
              <w:t>380</w:t>
            </w:r>
            <w:r w:rsidRPr="00843F77">
              <w:rPr>
                <w:rFonts w:ascii="Times New Roman" w:hAnsi="Times New Roman"/>
              </w:rPr>
              <w:t>.000 zł</w:t>
            </w:r>
            <w:r>
              <w:rPr>
                <w:rFonts w:ascii="Times New Roman" w:hAnsi="Times New Roman"/>
              </w:rPr>
              <w:t xml:space="preserve">., które w formie dotacji podmiotowej na działalność statutową zostaną przekazane do Narodowego Centrum na podstawie art. </w:t>
            </w:r>
            <w:r w:rsidR="00ED2E57">
              <w:rPr>
                <w:rFonts w:ascii="Times New Roman" w:hAnsi="Times New Roman"/>
              </w:rPr>
              <w:t>50</w:t>
            </w:r>
            <w:r>
              <w:rPr>
                <w:rFonts w:ascii="Times New Roman" w:hAnsi="Times New Roman"/>
              </w:rPr>
              <w:t xml:space="preserve"> ustawy. </w:t>
            </w:r>
          </w:p>
          <w:p w:rsidR="00113BE2" w:rsidRDefault="00113BE2" w:rsidP="00113BE2">
            <w:pPr>
              <w:pStyle w:val="Zwykytekst"/>
              <w:jc w:val="both"/>
              <w:rPr>
                <w:rFonts w:ascii="Times New Roman" w:hAnsi="Times New Roman"/>
              </w:rPr>
            </w:pPr>
          </w:p>
          <w:p w:rsidR="00113BE2" w:rsidRPr="00843F77" w:rsidRDefault="00113BE2" w:rsidP="00113BE2">
            <w:pPr>
              <w:pStyle w:val="Zwykytekst"/>
              <w:jc w:val="both"/>
              <w:rPr>
                <w:rFonts w:ascii="Times New Roman" w:hAnsi="Times New Roman"/>
              </w:rPr>
            </w:pPr>
            <w:r>
              <w:rPr>
                <w:rFonts w:ascii="Times New Roman" w:hAnsi="Times New Roman"/>
              </w:rPr>
              <w:t>W kolejnych latach środki na finansowanie Narodowego Centrum zostaną zapisane w części „16 – KPRM” ustawy budżetowej i w formie dotacji podmiotowej będą przekazywane do Narodowego Centrum. Środki będą się kształtować zgodnie tabelą powyżej i zostaną przeznaczone na p</w:t>
            </w:r>
            <w:r w:rsidRPr="00843F77">
              <w:rPr>
                <w:rFonts w:ascii="Times New Roman" w:hAnsi="Times New Roman"/>
              </w:rPr>
              <w:t>okrycie bieżących kosztów działania Centrum.</w:t>
            </w:r>
            <w:r w:rsidR="00084F4D">
              <w:rPr>
                <w:rFonts w:ascii="Times New Roman" w:hAnsi="Times New Roman"/>
              </w:rPr>
              <w:t xml:space="preserve"> W 2017 r. limit wydatków w części „16 – KPRM” ustawy budżetowej zostanie zwiększony o 1,38 mln. zł. i o 3,5 mln. zł. od 2018 r. aż do </w:t>
            </w:r>
            <w:r w:rsidR="005807DA">
              <w:rPr>
                <w:rFonts w:ascii="Times New Roman" w:hAnsi="Times New Roman"/>
              </w:rPr>
              <w:t>3,76</w:t>
            </w:r>
            <w:r w:rsidR="00084F4D">
              <w:rPr>
                <w:rFonts w:ascii="Times New Roman" w:hAnsi="Times New Roman"/>
              </w:rPr>
              <w:t xml:space="preserve"> mln. zł. w roku 2028. </w:t>
            </w:r>
          </w:p>
          <w:p w:rsidR="00113BE2" w:rsidRDefault="00113BE2" w:rsidP="00113BE2">
            <w:pPr>
              <w:pStyle w:val="Zwykytekst"/>
              <w:jc w:val="both"/>
              <w:rPr>
                <w:rFonts w:ascii="Times New Roman" w:hAnsi="Times New Roman"/>
              </w:rPr>
            </w:pPr>
          </w:p>
          <w:p w:rsidR="00680E09" w:rsidRDefault="00113BE2" w:rsidP="00113BE2">
            <w:pPr>
              <w:pStyle w:val="Zwykytekst"/>
              <w:jc w:val="both"/>
              <w:rPr>
                <w:rFonts w:ascii="Times New Roman" w:hAnsi="Times New Roman"/>
              </w:rPr>
            </w:pPr>
            <w:r>
              <w:rPr>
                <w:rFonts w:ascii="Times New Roman" w:hAnsi="Times New Roman"/>
              </w:rPr>
              <w:t>Odpowiednio do zakresu kompetencji d</w:t>
            </w:r>
            <w:r w:rsidRPr="00843F77">
              <w:rPr>
                <w:rFonts w:ascii="Times New Roman" w:hAnsi="Times New Roman"/>
              </w:rPr>
              <w:t xml:space="preserve">o </w:t>
            </w:r>
            <w:r>
              <w:rPr>
                <w:rFonts w:ascii="Times New Roman" w:hAnsi="Times New Roman"/>
              </w:rPr>
              <w:t xml:space="preserve">KPRM </w:t>
            </w:r>
            <w:r w:rsidRPr="00843F77">
              <w:rPr>
                <w:rFonts w:ascii="Times New Roman" w:hAnsi="Times New Roman"/>
              </w:rPr>
              <w:t xml:space="preserve">zostaną przeniesione środki </w:t>
            </w:r>
            <w:r>
              <w:rPr>
                <w:rFonts w:ascii="Times New Roman" w:hAnsi="Times New Roman"/>
              </w:rPr>
              <w:t>z MRPiPS przewidziane w</w:t>
            </w:r>
            <w:r w:rsidRPr="00B66A75">
              <w:rPr>
                <w:rFonts w:ascii="Times New Roman" w:hAnsi="Times New Roman"/>
              </w:rPr>
              <w:t xml:space="preserve"> us</w:t>
            </w:r>
            <w:r>
              <w:rPr>
                <w:rFonts w:ascii="Times New Roman" w:hAnsi="Times New Roman"/>
              </w:rPr>
              <w:t>tawie budżetowej na rok 2017 obejmujące w szczególności w</w:t>
            </w:r>
            <w:r w:rsidRPr="00B66A75">
              <w:rPr>
                <w:rFonts w:ascii="Times New Roman" w:hAnsi="Times New Roman"/>
              </w:rPr>
              <w:t xml:space="preserve"> części </w:t>
            </w:r>
            <w:r>
              <w:rPr>
                <w:rFonts w:ascii="Times New Roman" w:hAnsi="Times New Roman"/>
              </w:rPr>
              <w:t>„</w:t>
            </w:r>
            <w:r w:rsidRPr="00B66A75">
              <w:rPr>
                <w:rFonts w:ascii="Times New Roman" w:hAnsi="Times New Roman"/>
              </w:rPr>
              <w:t>44 – Zabezpieczenie społeczne</w:t>
            </w:r>
            <w:r>
              <w:rPr>
                <w:rFonts w:ascii="Times New Roman" w:hAnsi="Times New Roman"/>
              </w:rPr>
              <w:t>”</w:t>
            </w:r>
            <w:r w:rsidRPr="00B66A75">
              <w:rPr>
                <w:rFonts w:ascii="Times New Roman" w:hAnsi="Times New Roman"/>
              </w:rPr>
              <w:t xml:space="preserve"> w wyso</w:t>
            </w:r>
            <w:r>
              <w:rPr>
                <w:rFonts w:ascii="Times New Roman" w:hAnsi="Times New Roman"/>
              </w:rPr>
              <w:t xml:space="preserve">kości 359.575 zł. </w:t>
            </w:r>
            <w:r w:rsidR="00680E09">
              <w:rPr>
                <w:rFonts w:ascii="Times New Roman" w:hAnsi="Times New Roman"/>
              </w:rPr>
              <w:t xml:space="preserve">Środki te zostaną przeznaczone na zwiększenie o 12 etatów (311,5 tys. zł.) zatrudnienia w Departamencie Społeczeństwa Obywatelskiego KPRM i przeniesienie 12 pracowników służby cywilnej MRPiPS do KPRM oraz dodatkowo pokrycie kosztów utworzenia 12 stanowisk pracy w KPRM (48 tys. zł.). Ponadto </w:t>
            </w:r>
            <w:r>
              <w:rPr>
                <w:rFonts w:ascii="Times New Roman" w:hAnsi="Times New Roman"/>
              </w:rPr>
              <w:t xml:space="preserve"> </w:t>
            </w:r>
            <w:r w:rsidR="00680E09">
              <w:rPr>
                <w:rFonts w:ascii="Times New Roman" w:hAnsi="Times New Roman"/>
              </w:rPr>
              <w:t>d</w:t>
            </w:r>
            <w:r w:rsidR="00680E09" w:rsidRPr="00843F77">
              <w:rPr>
                <w:rFonts w:ascii="Times New Roman" w:hAnsi="Times New Roman"/>
              </w:rPr>
              <w:t xml:space="preserve">o </w:t>
            </w:r>
            <w:r w:rsidR="00680E09">
              <w:rPr>
                <w:rFonts w:ascii="Times New Roman" w:hAnsi="Times New Roman"/>
              </w:rPr>
              <w:t xml:space="preserve">KPRM </w:t>
            </w:r>
            <w:r w:rsidR="00680E09" w:rsidRPr="00843F77">
              <w:rPr>
                <w:rFonts w:ascii="Times New Roman" w:hAnsi="Times New Roman"/>
              </w:rPr>
              <w:t xml:space="preserve">zostaną przeniesione środki </w:t>
            </w:r>
            <w:r w:rsidR="00680E09">
              <w:rPr>
                <w:rFonts w:ascii="Times New Roman" w:hAnsi="Times New Roman"/>
              </w:rPr>
              <w:t>z MRPiPS przewidziane w</w:t>
            </w:r>
            <w:r w:rsidR="00680E09" w:rsidRPr="00B66A75">
              <w:rPr>
                <w:rFonts w:ascii="Times New Roman" w:hAnsi="Times New Roman"/>
              </w:rPr>
              <w:t xml:space="preserve"> us</w:t>
            </w:r>
            <w:r w:rsidR="00680E09">
              <w:rPr>
                <w:rFonts w:ascii="Times New Roman" w:hAnsi="Times New Roman"/>
              </w:rPr>
              <w:t>tawie budżetowej na rok 2017 obejmujące w szczególności w</w:t>
            </w:r>
            <w:r w:rsidR="00680E09" w:rsidRPr="00B66A75">
              <w:rPr>
                <w:rFonts w:ascii="Times New Roman" w:hAnsi="Times New Roman"/>
              </w:rPr>
              <w:t xml:space="preserve"> części </w:t>
            </w:r>
            <w:r w:rsidR="00680E09">
              <w:rPr>
                <w:rFonts w:ascii="Times New Roman" w:hAnsi="Times New Roman"/>
              </w:rPr>
              <w:t>„</w:t>
            </w:r>
            <w:r w:rsidR="00680E09" w:rsidRPr="00B66A75">
              <w:rPr>
                <w:rFonts w:ascii="Times New Roman" w:hAnsi="Times New Roman"/>
              </w:rPr>
              <w:t>44 – Zabezpieczenie społeczne</w:t>
            </w:r>
            <w:r w:rsidR="00680E09">
              <w:rPr>
                <w:rFonts w:ascii="Times New Roman" w:hAnsi="Times New Roman"/>
              </w:rPr>
              <w:t>”</w:t>
            </w:r>
            <w:r w:rsidR="00680E09" w:rsidRPr="00B66A75">
              <w:rPr>
                <w:rFonts w:ascii="Times New Roman" w:hAnsi="Times New Roman"/>
              </w:rPr>
              <w:t xml:space="preserve"> w </w:t>
            </w:r>
            <w:r w:rsidR="00680E09">
              <w:rPr>
                <w:rFonts w:ascii="Times New Roman" w:hAnsi="Times New Roman"/>
              </w:rPr>
              <w:t xml:space="preserve">wysokości </w:t>
            </w:r>
            <w:r w:rsidR="00680E09" w:rsidRPr="00421F55">
              <w:rPr>
                <w:rFonts w:ascii="Times New Roman" w:hAnsi="Times New Roman"/>
              </w:rPr>
              <w:t xml:space="preserve">ok. 50 tys. zł. </w:t>
            </w:r>
            <w:r w:rsidRPr="00421F55">
              <w:rPr>
                <w:rFonts w:ascii="Times New Roman" w:hAnsi="Times New Roman"/>
              </w:rPr>
              <w:t>przeznaczone na działalność bieżącą</w:t>
            </w:r>
            <w:r w:rsidRPr="00B66A75">
              <w:rPr>
                <w:rFonts w:ascii="Times New Roman" w:hAnsi="Times New Roman"/>
              </w:rPr>
              <w:t xml:space="preserve"> Departamentu</w:t>
            </w:r>
            <w:r>
              <w:rPr>
                <w:rFonts w:ascii="Times New Roman" w:hAnsi="Times New Roman"/>
              </w:rPr>
              <w:t xml:space="preserve"> Ekonomii Społecznej i Pożytku Publicznego</w:t>
            </w:r>
            <w:r w:rsidR="00525B68">
              <w:rPr>
                <w:rFonts w:ascii="Times New Roman" w:hAnsi="Times New Roman"/>
              </w:rPr>
              <w:t xml:space="preserve"> (ostateczna kwota będzie znana na dzień wejścia w życie niniejszej ustawy)</w:t>
            </w:r>
            <w:r>
              <w:rPr>
                <w:rFonts w:ascii="Times New Roman" w:hAnsi="Times New Roman"/>
              </w:rPr>
              <w:t xml:space="preserve">. </w:t>
            </w:r>
          </w:p>
          <w:p w:rsidR="00680E09" w:rsidRDefault="00680E09" w:rsidP="00113BE2">
            <w:pPr>
              <w:pStyle w:val="Zwykytekst"/>
              <w:jc w:val="both"/>
              <w:rPr>
                <w:rFonts w:ascii="Times New Roman" w:hAnsi="Times New Roman"/>
              </w:rPr>
            </w:pPr>
          </w:p>
          <w:p w:rsidR="00113BE2" w:rsidRDefault="00113BE2" w:rsidP="00113BE2">
            <w:pPr>
              <w:pStyle w:val="Zwykytekst"/>
              <w:jc w:val="both"/>
              <w:rPr>
                <w:rFonts w:ascii="Times New Roman" w:hAnsi="Times New Roman"/>
              </w:rPr>
            </w:pPr>
            <w:r>
              <w:rPr>
                <w:rFonts w:ascii="Times New Roman" w:hAnsi="Times New Roman"/>
              </w:rPr>
              <w:t xml:space="preserve">W kolejnych latach środki na pokrycie kosztów zwiększonego zatrudnienia w KPRM w wysokości 950.000 zł. </w:t>
            </w:r>
            <w:r w:rsidR="00680E09">
              <w:rPr>
                <w:rFonts w:ascii="Times New Roman" w:hAnsi="Times New Roman"/>
              </w:rPr>
              <w:t xml:space="preserve">(na wynagrodzenia) i </w:t>
            </w:r>
            <w:r w:rsidR="00680E09" w:rsidRPr="00421F55">
              <w:rPr>
                <w:rFonts w:ascii="Times New Roman" w:hAnsi="Times New Roman"/>
              </w:rPr>
              <w:t xml:space="preserve">300.000 zł. (na działalność bieżącą) </w:t>
            </w:r>
            <w:r>
              <w:rPr>
                <w:rFonts w:ascii="Times New Roman" w:hAnsi="Times New Roman"/>
              </w:rPr>
              <w:t>zostaną zapisane w części „16 – KPRM” budżetu państwa kosztem części „44 – Zabezpieczenie społeczne”.</w:t>
            </w:r>
            <w:r w:rsidR="00084F4D">
              <w:rPr>
                <w:rFonts w:ascii="Times New Roman" w:hAnsi="Times New Roman"/>
              </w:rPr>
              <w:t xml:space="preserve"> Przeniesienie środków w kolejnych latach pomiędzy częściami 44 i 16 nie będzie wiązało się ze zwiększeniem wydatków budżetu państwa. </w:t>
            </w:r>
          </w:p>
          <w:p w:rsidR="00113BE2" w:rsidRDefault="00113BE2" w:rsidP="00113BE2">
            <w:pPr>
              <w:pStyle w:val="Zwykytekst"/>
              <w:jc w:val="both"/>
              <w:rPr>
                <w:rFonts w:ascii="Times New Roman" w:hAnsi="Times New Roman"/>
              </w:rPr>
            </w:pPr>
          </w:p>
          <w:p w:rsidR="00113BE2" w:rsidRDefault="00113BE2" w:rsidP="00113BE2">
            <w:pPr>
              <w:pStyle w:val="Zwykytekst"/>
              <w:jc w:val="both"/>
              <w:rPr>
                <w:rFonts w:ascii="Times New Roman" w:hAnsi="Times New Roman"/>
              </w:rPr>
            </w:pPr>
            <w:r w:rsidRPr="005E2FEC">
              <w:rPr>
                <w:rFonts w:ascii="Times New Roman" w:hAnsi="Times New Roman"/>
              </w:rPr>
              <w:t>Projekt ustawy przewiduje, że z chwilą wejścia w życie jej przepisów Program Fundusz Inicjatyw Obywatelskich na lata 2014-2020 staje się programem wspierania rozwoju społeczeństwa obywatelskiego w rozumieniu art. 23 ust. 1 niniejszej ustawy</w:t>
            </w:r>
            <w:r>
              <w:rPr>
                <w:rFonts w:ascii="Times New Roman" w:hAnsi="Times New Roman"/>
              </w:rPr>
              <w:t xml:space="preserve"> i zarządzać nim będzie Narodowe Centrum Rozwoju Społeczeństwa Obywatelskiego. Tym samym środki pozostałe w poz. 39 rezerwy celowej budżetu w planowanej na okres wrzesień-grudzień 2017 r. wysokości ok. 400 tys. zł. będą od dnia wejścia w życie ustawy w dyspozycji szefa KPRM i zostaną w formie dotacji celowej przekazane do Narodowego Centrum. </w:t>
            </w:r>
          </w:p>
          <w:p w:rsidR="00113BE2" w:rsidRDefault="00113BE2" w:rsidP="00113BE2">
            <w:pPr>
              <w:pStyle w:val="Zwykytekst"/>
              <w:jc w:val="both"/>
              <w:rPr>
                <w:rFonts w:ascii="Times New Roman" w:hAnsi="Times New Roman"/>
              </w:rPr>
            </w:pPr>
          </w:p>
          <w:p w:rsidR="00113BE2" w:rsidRDefault="00113BE2" w:rsidP="00113BE2">
            <w:pPr>
              <w:pStyle w:val="Zwykytekst"/>
              <w:jc w:val="both"/>
              <w:rPr>
                <w:rFonts w:ascii="Times New Roman" w:hAnsi="Times New Roman"/>
              </w:rPr>
            </w:pPr>
            <w:r>
              <w:rPr>
                <w:rFonts w:ascii="Times New Roman" w:hAnsi="Times New Roman"/>
              </w:rPr>
              <w:t xml:space="preserve">Podobnie w latach 2018-2020 środki przewidziane w Programie na dotacje oraz </w:t>
            </w:r>
            <w:r w:rsidRPr="00843F77">
              <w:rPr>
                <w:rFonts w:ascii="Times New Roman" w:hAnsi="Times New Roman"/>
              </w:rPr>
              <w:t>pokrycie bieżących kosztów zarządzania</w:t>
            </w:r>
            <w:r>
              <w:rPr>
                <w:rFonts w:ascii="Times New Roman" w:hAnsi="Times New Roman"/>
              </w:rPr>
              <w:t xml:space="preserve"> Programem zostaną zapisane w poz. 39 rezerwy celowej. Zmiana ta nie wywołuje skutków dla budżetu, ponieważ polega ona jedynie na zmianie dysponenta środków zapisanych w poz. 39 rezerwy celowej. Dotychczasowym dysponentem środków jest minister ds. zabezpieczenia społecznego, a nowym dysponentem w wyniku zmian zapisanych w niniejszej ustawie staje się szef KPRM. </w:t>
            </w:r>
          </w:p>
          <w:p w:rsidR="00113BE2" w:rsidRPr="00036101" w:rsidRDefault="00113BE2" w:rsidP="00113BE2">
            <w:pPr>
              <w:pStyle w:val="Zwykytekst"/>
              <w:jc w:val="both"/>
              <w:rPr>
                <w:rFonts w:ascii="Times New Roman" w:hAnsi="Times New Roman"/>
              </w:rPr>
            </w:pPr>
          </w:p>
        </w:tc>
      </w:tr>
      <w:tr w:rsidR="00113BE2" w:rsidRPr="00843F77" w:rsidTr="001112D5">
        <w:trPr>
          <w:gridAfter w:val="1"/>
          <w:wAfter w:w="10" w:type="dxa"/>
          <w:trHeight w:val="1926"/>
        </w:trPr>
        <w:tc>
          <w:tcPr>
            <w:tcW w:w="2237" w:type="dxa"/>
            <w:gridSpan w:val="2"/>
            <w:shd w:val="clear" w:color="auto" w:fill="FFFFFF"/>
          </w:tcPr>
          <w:p w:rsidR="00113BE2" w:rsidRPr="00843F77" w:rsidRDefault="00113BE2" w:rsidP="00113BE2">
            <w:pPr>
              <w:spacing w:line="240" w:lineRule="auto"/>
              <w:rPr>
                <w:rFonts w:ascii="Times New Roman" w:hAnsi="Times New Roman"/>
                <w:color w:val="000000"/>
                <w:sz w:val="21"/>
                <w:szCs w:val="21"/>
              </w:rPr>
            </w:pPr>
          </w:p>
          <w:p w:rsidR="00113BE2" w:rsidRPr="00843F77" w:rsidRDefault="00113BE2" w:rsidP="00113BE2">
            <w:pPr>
              <w:spacing w:line="240" w:lineRule="auto"/>
              <w:rPr>
                <w:rFonts w:ascii="Times New Roman" w:hAnsi="Times New Roman"/>
                <w:color w:val="000000"/>
                <w:sz w:val="21"/>
                <w:szCs w:val="21"/>
              </w:rPr>
            </w:pPr>
            <w:r w:rsidRPr="00843F77">
              <w:rPr>
                <w:rFonts w:ascii="Times New Roman" w:hAnsi="Times New Roman"/>
                <w:color w:val="000000"/>
                <w:sz w:val="21"/>
                <w:szCs w:val="21"/>
              </w:rPr>
              <w:t>Dodatkowe informacje, w tym wskazanie źródeł danych i przyjętych do obliczeń założeń</w:t>
            </w:r>
          </w:p>
        </w:tc>
        <w:tc>
          <w:tcPr>
            <w:tcW w:w="8700" w:type="dxa"/>
            <w:gridSpan w:val="24"/>
            <w:shd w:val="clear" w:color="auto" w:fill="FFFFFF"/>
          </w:tcPr>
          <w:p w:rsidR="00113BE2" w:rsidRDefault="00113BE2" w:rsidP="00113BE2">
            <w:pPr>
              <w:pStyle w:val="Zwykytekst"/>
              <w:jc w:val="both"/>
              <w:rPr>
                <w:rFonts w:ascii="Times New Roman" w:hAnsi="Times New Roman"/>
              </w:rPr>
            </w:pPr>
          </w:p>
          <w:p w:rsidR="00113BE2" w:rsidRPr="005513E2" w:rsidRDefault="00113BE2" w:rsidP="00113BE2">
            <w:pPr>
              <w:pStyle w:val="Zwykytekst"/>
              <w:jc w:val="both"/>
              <w:rPr>
                <w:rFonts w:ascii="Times New Roman" w:hAnsi="Times New Roman"/>
              </w:rPr>
            </w:pPr>
            <w:r w:rsidRPr="00843F77">
              <w:rPr>
                <w:rFonts w:ascii="Times New Roman" w:hAnsi="Times New Roman"/>
              </w:rPr>
              <w:t xml:space="preserve">Koszty </w:t>
            </w:r>
            <w:r>
              <w:rPr>
                <w:rFonts w:ascii="Times New Roman" w:hAnsi="Times New Roman"/>
              </w:rPr>
              <w:t xml:space="preserve">działalności statutowej Narodowego Centrum Rozwoju Społeczeństwa Obywatelskiego </w:t>
            </w:r>
            <w:r w:rsidRPr="00843F77">
              <w:rPr>
                <w:rFonts w:ascii="Times New Roman" w:hAnsi="Times New Roman"/>
              </w:rPr>
              <w:t xml:space="preserve">pokrywane ze środków pochodzących z rezerwy </w:t>
            </w:r>
            <w:r>
              <w:rPr>
                <w:rFonts w:ascii="Times New Roman" w:hAnsi="Times New Roman"/>
              </w:rPr>
              <w:t>ogólnej w dyspozycji Prezesa Rady Ministrów</w:t>
            </w:r>
            <w:r w:rsidRPr="00843F77">
              <w:rPr>
                <w:rFonts w:ascii="Times New Roman" w:hAnsi="Times New Roman"/>
              </w:rPr>
              <w:t xml:space="preserve"> na rok </w:t>
            </w:r>
            <w:r w:rsidRPr="005513E2">
              <w:rPr>
                <w:rFonts w:ascii="Times New Roman" w:hAnsi="Times New Roman"/>
              </w:rPr>
              <w:t>2017 oraz przekazywane w kolejnych latach w formie dotacji podmiotowej z części 16 – KPRM” budżetu skalkulowano przy następujących założeniach:</w:t>
            </w:r>
          </w:p>
          <w:p w:rsidR="00113BE2" w:rsidRPr="005513E2" w:rsidRDefault="00113BE2" w:rsidP="00AE7B84">
            <w:pPr>
              <w:pStyle w:val="Zwykytekst"/>
              <w:numPr>
                <w:ilvl w:val="0"/>
                <w:numId w:val="29"/>
              </w:numPr>
              <w:jc w:val="both"/>
              <w:rPr>
                <w:rFonts w:ascii="Times New Roman" w:hAnsi="Times New Roman"/>
              </w:rPr>
            </w:pPr>
            <w:r w:rsidRPr="005513E2">
              <w:rPr>
                <w:rFonts w:ascii="Times New Roman" w:hAnsi="Times New Roman"/>
              </w:rPr>
              <w:t>Z</w:t>
            </w:r>
            <w:r w:rsidR="00AE7B84" w:rsidRPr="005513E2">
              <w:rPr>
                <w:rFonts w:ascii="Times New Roman" w:hAnsi="Times New Roman"/>
              </w:rPr>
              <w:t>atrudnienie w Narodowym Centrum: plan zatrudnienia w Narodowym Centrum obejmuje 60 etatów, z tego koszty 22 etatów pr</w:t>
            </w:r>
            <w:r w:rsidR="00876745" w:rsidRPr="005513E2">
              <w:rPr>
                <w:rFonts w:ascii="Times New Roman" w:hAnsi="Times New Roman"/>
              </w:rPr>
              <w:t>zeliczeniowych będą pokrywane z </w:t>
            </w:r>
            <w:r w:rsidR="00AE7B84" w:rsidRPr="005513E2">
              <w:rPr>
                <w:rFonts w:ascii="Times New Roman" w:hAnsi="Times New Roman"/>
              </w:rPr>
              <w:t>budżetu państwa, a pozostałe z innych źródeł, z uwzględnieniem zwiększonych zadań, które NCRSO będzie realizować na podstawie innych przepisów</w:t>
            </w:r>
            <w:r w:rsidR="00680E09">
              <w:rPr>
                <w:rFonts w:ascii="Times New Roman" w:hAnsi="Times New Roman"/>
              </w:rPr>
              <w:t xml:space="preserve"> (przewiduje się pokrycie kosztów pozostałych etatów z Funduszu Wspierania Rozwoju Społeczeństwa Obywatelskiego</w:t>
            </w:r>
            <w:r w:rsidR="00525B68">
              <w:rPr>
                <w:rFonts w:ascii="Times New Roman" w:hAnsi="Times New Roman"/>
              </w:rPr>
              <w:t xml:space="preserve"> – art. 88a ustawy o grach</w:t>
            </w:r>
            <w:r w:rsidR="00680E09">
              <w:rPr>
                <w:rFonts w:ascii="Times New Roman" w:hAnsi="Times New Roman"/>
              </w:rPr>
              <w:t>)</w:t>
            </w:r>
            <w:r w:rsidR="00AE7B84" w:rsidRPr="005513E2">
              <w:rPr>
                <w:rFonts w:ascii="Times New Roman" w:hAnsi="Times New Roman"/>
              </w:rPr>
              <w:t>.</w:t>
            </w:r>
          </w:p>
          <w:p w:rsidR="00113BE2" w:rsidRPr="005513E2" w:rsidRDefault="00113BE2" w:rsidP="00113BE2">
            <w:pPr>
              <w:pStyle w:val="Zwykytekst"/>
              <w:numPr>
                <w:ilvl w:val="0"/>
                <w:numId w:val="29"/>
              </w:numPr>
              <w:jc w:val="both"/>
              <w:rPr>
                <w:rFonts w:ascii="Times New Roman" w:hAnsi="Times New Roman"/>
              </w:rPr>
            </w:pPr>
            <w:r w:rsidRPr="005513E2">
              <w:rPr>
                <w:rFonts w:ascii="Times New Roman" w:hAnsi="Times New Roman"/>
              </w:rPr>
              <w:t>W 2017 r. Narodowe Centrum rozpocznie działanie od początku września i pełną zdolność operacyjną osiągnie w ciągu 6-8 tygodni.</w:t>
            </w:r>
          </w:p>
          <w:p w:rsidR="00581FB6" w:rsidRDefault="00113BE2" w:rsidP="00581FB6">
            <w:pPr>
              <w:pStyle w:val="Zwykytekst"/>
              <w:numPr>
                <w:ilvl w:val="0"/>
                <w:numId w:val="29"/>
              </w:numPr>
              <w:jc w:val="both"/>
              <w:rPr>
                <w:rFonts w:ascii="Times New Roman" w:hAnsi="Times New Roman"/>
              </w:rPr>
            </w:pPr>
            <w:r w:rsidRPr="005513E2">
              <w:rPr>
                <w:rFonts w:ascii="Times New Roman" w:hAnsi="Times New Roman"/>
              </w:rPr>
              <w:t xml:space="preserve">Koszty wynagrodzeń </w:t>
            </w:r>
            <w:r w:rsidR="00581FB6" w:rsidRPr="005513E2">
              <w:rPr>
                <w:rFonts w:ascii="Times New Roman" w:hAnsi="Times New Roman"/>
              </w:rPr>
              <w:t xml:space="preserve">pracowników Centrum </w:t>
            </w:r>
            <w:r w:rsidRPr="005513E2">
              <w:rPr>
                <w:rFonts w:ascii="Times New Roman" w:hAnsi="Times New Roman"/>
              </w:rPr>
              <w:t xml:space="preserve">skalkulowano biorąc pod uwagę średnie wynagrodzenie stosowane w </w:t>
            </w:r>
            <w:r w:rsidR="00084F4D" w:rsidRPr="005513E2">
              <w:rPr>
                <w:rFonts w:ascii="Times New Roman" w:hAnsi="Times New Roman"/>
              </w:rPr>
              <w:t>podobnego typu instytucjach (np. średnie wynagrodzenie w Fundacji Rozwoju Systemu Edukacji, która jest największą w Polsce instytucją grantodawczą i Narodową Agencją Programu Erasmus+ oraz realizuje projekty</w:t>
            </w:r>
            <w:r w:rsidR="00084F4D">
              <w:rPr>
                <w:rFonts w:ascii="Times New Roman" w:hAnsi="Times New Roman"/>
              </w:rPr>
              <w:t xml:space="preserve"> w ramach POWER</w:t>
            </w:r>
            <w:r w:rsidR="00581FB6">
              <w:rPr>
                <w:rFonts w:ascii="Times New Roman" w:hAnsi="Times New Roman"/>
              </w:rPr>
              <w:t>)</w:t>
            </w:r>
            <w:r w:rsidR="00084F4D">
              <w:rPr>
                <w:rFonts w:ascii="Times New Roman" w:hAnsi="Times New Roman"/>
              </w:rPr>
              <w:t xml:space="preserve">. </w:t>
            </w:r>
            <w:r w:rsidR="00581FB6">
              <w:rPr>
                <w:rFonts w:ascii="Times New Roman" w:hAnsi="Times New Roman"/>
              </w:rPr>
              <w:t xml:space="preserve">Średnie wynagrodzenie miesięczne brutto na etat: 7100 zł. zostało powiększone o koszty pracodawcy (FUS, FP, FGŚP) oraz o środki na nagrody dla pracowników w wysokości </w:t>
            </w:r>
            <w:r w:rsidR="00372C96">
              <w:rPr>
                <w:rFonts w:ascii="Times New Roman" w:hAnsi="Times New Roman"/>
              </w:rPr>
              <w:t xml:space="preserve">dodatkowo </w:t>
            </w:r>
            <w:r w:rsidR="00581FB6">
              <w:rPr>
                <w:rFonts w:ascii="Times New Roman" w:hAnsi="Times New Roman"/>
              </w:rPr>
              <w:t>jednego wynagrodzenia miesięcznego. Plan budżetowy nie przewiduje w</w:t>
            </w:r>
            <w:r w:rsidR="00200A8C">
              <w:rPr>
                <w:rFonts w:ascii="Times New Roman" w:hAnsi="Times New Roman"/>
              </w:rPr>
              <w:t>ypłat dodatkowego wynagrodzenia rocznego</w:t>
            </w:r>
            <w:r w:rsidR="00581FB6">
              <w:rPr>
                <w:rFonts w:ascii="Times New Roman" w:hAnsi="Times New Roman"/>
              </w:rPr>
              <w:t>.</w:t>
            </w:r>
          </w:p>
          <w:p w:rsidR="00432F14" w:rsidRPr="00581FB6" w:rsidRDefault="00432F14" w:rsidP="00581FB6">
            <w:pPr>
              <w:pStyle w:val="Zwykytekst"/>
              <w:numPr>
                <w:ilvl w:val="0"/>
                <w:numId w:val="29"/>
              </w:numPr>
              <w:jc w:val="both"/>
              <w:rPr>
                <w:rFonts w:ascii="Times New Roman" w:hAnsi="Times New Roman"/>
              </w:rPr>
            </w:pPr>
            <w:r>
              <w:rPr>
                <w:rFonts w:ascii="Times New Roman" w:hAnsi="Times New Roman"/>
              </w:rPr>
              <w:t xml:space="preserve">Inne świadczenia pracownicze: obejmują koszty rozwoju zawodowego pracowników NCRSO, w tym szkoleń pracowniczych realizowanych zgodnie z planem szkoleń, działań integracyjnych, obowiązkowych badań medycyny pracy i inne. </w:t>
            </w:r>
          </w:p>
          <w:p w:rsidR="00113BE2" w:rsidRPr="00843F77" w:rsidRDefault="00113BE2" w:rsidP="00113BE2">
            <w:pPr>
              <w:pStyle w:val="Zwykytekst"/>
              <w:numPr>
                <w:ilvl w:val="0"/>
                <w:numId w:val="29"/>
              </w:numPr>
              <w:jc w:val="both"/>
              <w:rPr>
                <w:rFonts w:ascii="Times New Roman" w:hAnsi="Times New Roman"/>
              </w:rPr>
            </w:pPr>
            <w:r w:rsidRPr="00843F77">
              <w:rPr>
                <w:rFonts w:ascii="Times New Roman" w:hAnsi="Times New Roman"/>
              </w:rPr>
              <w:t>Koszty utworze</w:t>
            </w:r>
            <w:r>
              <w:rPr>
                <w:rFonts w:ascii="Times New Roman" w:hAnsi="Times New Roman"/>
              </w:rPr>
              <w:t>nia stanowisk pracy obejmują zakup sprzętu i wyposażenia biurowego oraz wykonanie niezbędnych adaptacji pomieszczeń.</w:t>
            </w:r>
            <w:r w:rsidR="00C33898">
              <w:rPr>
                <w:rFonts w:ascii="Times New Roman" w:hAnsi="Times New Roman"/>
              </w:rPr>
              <w:t xml:space="preserve"> Co 4 lata przewiduje się wymianę najbardziej zużytego sprzętu i oprogramowania oraz doposażenie stanowisk. </w:t>
            </w:r>
          </w:p>
          <w:p w:rsidR="00113BE2" w:rsidRPr="00843F77" w:rsidRDefault="00113BE2" w:rsidP="00113BE2">
            <w:pPr>
              <w:pStyle w:val="Zwykytekst"/>
              <w:numPr>
                <w:ilvl w:val="0"/>
                <w:numId w:val="29"/>
              </w:numPr>
              <w:jc w:val="both"/>
              <w:rPr>
                <w:rFonts w:ascii="Times New Roman" w:hAnsi="Times New Roman"/>
              </w:rPr>
            </w:pPr>
            <w:r w:rsidRPr="00843F77">
              <w:rPr>
                <w:rFonts w:ascii="Times New Roman" w:hAnsi="Times New Roman"/>
              </w:rPr>
              <w:t>Koszty wyjazdó</w:t>
            </w:r>
            <w:r>
              <w:rPr>
                <w:rFonts w:ascii="Times New Roman" w:hAnsi="Times New Roman"/>
              </w:rPr>
              <w:t xml:space="preserve">w i delegacji służbowych uwzględniają intensywny plan wizyt pracowników Centrum w siedzibach organizacji wnioskujących o środki z programów realizowanych przez Centrum, wizyt monitoringowych i kontrolnych, spotkań informacyjnych w trakcie kampanii upowszechniających wiedzę o programach wsparcia społeczeństwa obywatelskiego i innych oraz uczestnictwa w spotkaniach międzynarodowych sieci instytucji krajowych i międzynarodowych zarządzających programami wsparcia społeczeństwa obywatelskiego. </w:t>
            </w:r>
            <w:r w:rsidR="00581FB6">
              <w:rPr>
                <w:rFonts w:ascii="Times New Roman" w:hAnsi="Times New Roman"/>
              </w:rPr>
              <w:t xml:space="preserve">Uwzględnione także zostały koszty przejazdu członków Rady NCRSO związane z wykonywaniem przez nich obowiązków statutowych. </w:t>
            </w:r>
          </w:p>
          <w:p w:rsidR="00113BE2" w:rsidRPr="00323E69" w:rsidRDefault="00113BE2" w:rsidP="00113BE2">
            <w:pPr>
              <w:pStyle w:val="Zwykytekst"/>
              <w:numPr>
                <w:ilvl w:val="0"/>
                <w:numId w:val="29"/>
              </w:numPr>
              <w:jc w:val="both"/>
              <w:rPr>
                <w:rFonts w:ascii="Times New Roman" w:hAnsi="Times New Roman"/>
                <w:color w:val="000000"/>
              </w:rPr>
            </w:pPr>
            <w:r w:rsidRPr="00843F77">
              <w:rPr>
                <w:rFonts w:ascii="Times New Roman" w:hAnsi="Times New Roman"/>
              </w:rPr>
              <w:t xml:space="preserve">Koszty </w:t>
            </w:r>
            <w:r w:rsidR="00581FB6">
              <w:rPr>
                <w:rFonts w:ascii="Times New Roman" w:hAnsi="Times New Roman"/>
              </w:rPr>
              <w:t>wynagrodzeń bezosobowych (</w:t>
            </w:r>
            <w:r>
              <w:rPr>
                <w:rFonts w:ascii="Times New Roman" w:hAnsi="Times New Roman"/>
              </w:rPr>
              <w:t>ekspertyz i analiz</w:t>
            </w:r>
            <w:r w:rsidR="00581FB6">
              <w:rPr>
                <w:rFonts w:ascii="Times New Roman" w:hAnsi="Times New Roman"/>
              </w:rPr>
              <w:t>)</w:t>
            </w:r>
            <w:r>
              <w:rPr>
                <w:rFonts w:ascii="Times New Roman" w:hAnsi="Times New Roman"/>
              </w:rPr>
              <w:t>:</w:t>
            </w:r>
            <w:r w:rsidR="00581FB6">
              <w:rPr>
                <w:rFonts w:ascii="Times New Roman" w:hAnsi="Times New Roman"/>
              </w:rPr>
              <w:t xml:space="preserve"> obejmować będą zlecane na zewnątrz zadania w formie umów o dzieło wyłącznie w sytuacji, w której zadania nie </w:t>
            </w:r>
            <w:r w:rsidR="00581FB6" w:rsidRPr="00323E69">
              <w:rPr>
                <w:rFonts w:ascii="Times New Roman" w:hAnsi="Times New Roman"/>
                <w:color w:val="000000"/>
              </w:rPr>
              <w:t>będą mogły zostać zrealizowane przy</w:t>
            </w:r>
            <w:r w:rsidR="008625D7" w:rsidRPr="00323E69">
              <w:rPr>
                <w:rFonts w:ascii="Times New Roman" w:hAnsi="Times New Roman"/>
                <w:color w:val="000000"/>
              </w:rPr>
              <w:t xml:space="preserve"> wykorzystaniu zasobów Centrum. W dochodach budżetu państwa i JST przewidziano skutki od wynagrodzeń bezosobowych. </w:t>
            </w:r>
          </w:p>
          <w:p w:rsidR="00113BE2" w:rsidRPr="00323E69" w:rsidRDefault="00AE7B84" w:rsidP="00AE7B84">
            <w:pPr>
              <w:pStyle w:val="Zwykytekst"/>
              <w:numPr>
                <w:ilvl w:val="0"/>
                <w:numId w:val="29"/>
              </w:numPr>
              <w:jc w:val="both"/>
              <w:rPr>
                <w:rFonts w:ascii="Times New Roman" w:hAnsi="Times New Roman"/>
                <w:color w:val="000000"/>
              </w:rPr>
            </w:pPr>
            <w:r w:rsidRPr="00323E69">
              <w:rPr>
                <w:rFonts w:ascii="Times New Roman" w:hAnsi="Times New Roman"/>
                <w:color w:val="000000"/>
              </w:rPr>
              <w:t>Koszty wynajmu powierzchni biurowej skalkulowano biorąc pod uwagę stawki w budynkach publicznych z przeznaczeniem dla instytucji publicznych (ok. 15 euro za 1m2). Do kalkulacji przyjęto, że na potrzeby Centrum wynajęte zostanie ok. 600 m2 (ok. 10 m2 powierzchni biurowej z uwzględnieniem mniejszych sal konferencyjnych)</w:t>
            </w:r>
            <w:r w:rsidR="00680E09">
              <w:rPr>
                <w:rFonts w:ascii="Times New Roman" w:hAnsi="Times New Roman"/>
                <w:color w:val="000000"/>
              </w:rPr>
              <w:t>. Powierzchnia ok. 60</w:t>
            </w:r>
            <w:r w:rsidR="00432F14" w:rsidRPr="00323E69">
              <w:rPr>
                <w:rFonts w:ascii="Times New Roman" w:hAnsi="Times New Roman"/>
                <w:color w:val="000000"/>
              </w:rPr>
              <w:t xml:space="preserve">0 m2 powinna zapewnić funkcjonowanie Centrum także z uwzględnieniem zwiększonych zadań, które Centrum będzie realizować w ramach innych przepisów (NCRSO zostanie wskazane jako instytucja zarządzająca Funduszem Wspierania Rozwoju Społeczeństwa Obywatelskiego w ramach systemu dopłat do gier w ustawie z dnia 19 listopada 2009 r. o grach). Zmiany w obciążeniu budżetu państwa z tego tytułu zostaną wyliczone w OSR rozporządzenia wykonawczego do art. 88a ww. ustawy. </w:t>
            </w:r>
          </w:p>
          <w:p w:rsidR="00113BE2" w:rsidRDefault="00113BE2" w:rsidP="00113BE2">
            <w:pPr>
              <w:pStyle w:val="Zwykytekst"/>
              <w:numPr>
                <w:ilvl w:val="0"/>
                <w:numId w:val="29"/>
              </w:numPr>
              <w:jc w:val="both"/>
              <w:rPr>
                <w:rFonts w:ascii="Times New Roman" w:hAnsi="Times New Roman"/>
              </w:rPr>
            </w:pPr>
            <w:r>
              <w:rPr>
                <w:rFonts w:ascii="Times New Roman" w:hAnsi="Times New Roman"/>
              </w:rPr>
              <w:t>Inne koszty adm</w:t>
            </w:r>
            <w:r w:rsidR="008625D7">
              <w:rPr>
                <w:rFonts w:ascii="Times New Roman" w:hAnsi="Times New Roman"/>
              </w:rPr>
              <w:t xml:space="preserve">inistracyjne: obejmują koszty mediów, </w:t>
            </w:r>
            <w:r w:rsidR="00420413">
              <w:rPr>
                <w:rFonts w:ascii="Times New Roman" w:hAnsi="Times New Roman"/>
              </w:rPr>
              <w:t>usług telekomunikacyjnych</w:t>
            </w:r>
            <w:r w:rsidR="008625D7">
              <w:rPr>
                <w:rFonts w:ascii="Times New Roman" w:hAnsi="Times New Roman"/>
              </w:rPr>
              <w:t xml:space="preserve">, </w:t>
            </w:r>
            <w:r w:rsidR="00420413">
              <w:rPr>
                <w:rFonts w:ascii="Times New Roman" w:hAnsi="Times New Roman"/>
              </w:rPr>
              <w:t xml:space="preserve">zakupu materiałów i wyposażenia, tłumaczeń, usług remontowych, a także podatek od nieruchomości i koszty ew. postępowań sądowych, </w:t>
            </w:r>
            <w:r w:rsidR="008625D7">
              <w:rPr>
                <w:rFonts w:ascii="Times New Roman" w:hAnsi="Times New Roman"/>
              </w:rPr>
              <w:t xml:space="preserve">itp. </w:t>
            </w:r>
          </w:p>
          <w:p w:rsidR="00420413" w:rsidRPr="00843F77" w:rsidRDefault="00420413" w:rsidP="00113BE2">
            <w:pPr>
              <w:pStyle w:val="Zwykytekst"/>
              <w:numPr>
                <w:ilvl w:val="0"/>
                <w:numId w:val="29"/>
              </w:numPr>
              <w:jc w:val="both"/>
              <w:rPr>
                <w:rFonts w:ascii="Times New Roman" w:hAnsi="Times New Roman"/>
              </w:rPr>
            </w:pPr>
            <w:r>
              <w:rPr>
                <w:rFonts w:ascii="Times New Roman" w:hAnsi="Times New Roman"/>
              </w:rPr>
              <w:t>W skutkach dla finansów publicznych przewidziano niewielki wzrost k</w:t>
            </w:r>
            <w:r w:rsidRPr="00843F77">
              <w:rPr>
                <w:rFonts w:ascii="Times New Roman" w:hAnsi="Times New Roman"/>
              </w:rPr>
              <w:t>oszt</w:t>
            </w:r>
            <w:r>
              <w:rPr>
                <w:rFonts w:ascii="Times New Roman" w:hAnsi="Times New Roman"/>
              </w:rPr>
              <w:t>ów</w:t>
            </w:r>
            <w:r w:rsidRPr="00843F77">
              <w:rPr>
                <w:rFonts w:ascii="Times New Roman" w:hAnsi="Times New Roman"/>
              </w:rPr>
              <w:t xml:space="preserve"> wynajmu p</w:t>
            </w:r>
            <w:r>
              <w:rPr>
                <w:rFonts w:ascii="Times New Roman" w:hAnsi="Times New Roman"/>
              </w:rPr>
              <w:t xml:space="preserve">owierzchni biurowej i innych kosztów administracyjnych (ok. 2,5-2,8%) rocznie. </w:t>
            </w:r>
          </w:p>
          <w:p w:rsidR="00113BE2" w:rsidRPr="00843F77" w:rsidRDefault="00113BE2" w:rsidP="00113BE2">
            <w:pPr>
              <w:pStyle w:val="Zwykytekst"/>
              <w:jc w:val="both"/>
              <w:rPr>
                <w:rFonts w:ascii="Times New Roman" w:hAnsi="Times New Roman"/>
              </w:rPr>
            </w:pPr>
          </w:p>
          <w:p w:rsidR="005924C1" w:rsidRPr="00421F55" w:rsidRDefault="008625D7" w:rsidP="005924C1">
            <w:pPr>
              <w:pStyle w:val="Zwykytekst"/>
              <w:jc w:val="both"/>
              <w:rPr>
                <w:rFonts w:ascii="Times New Roman" w:hAnsi="Times New Roman"/>
              </w:rPr>
            </w:pPr>
            <w:r>
              <w:rPr>
                <w:rFonts w:ascii="Times New Roman" w:hAnsi="Times New Roman"/>
              </w:rPr>
              <w:t xml:space="preserve">W wyniku realizacji postanowień ustawowych odpowiednio do zakresu kompetencji, bezkosztowo przeniesione zostaną prawa do systemów informatycznych i baz danych, związanych z realizacją zadań pożytku publicznego i FIO, w tym: Generatora wniosków i </w:t>
            </w:r>
            <w:r>
              <w:rPr>
                <w:rFonts w:ascii="Times New Roman" w:hAnsi="Times New Roman"/>
              </w:rPr>
              <w:lastRenderedPageBreak/>
              <w:t xml:space="preserve">sprawozdań FIO wraz z modułami towarzyszącymi oraz Bazy sprawozdań OPP. </w:t>
            </w:r>
            <w:r w:rsidR="005924C1" w:rsidRPr="00421F55">
              <w:rPr>
                <w:rFonts w:ascii="Times New Roman" w:hAnsi="Times New Roman"/>
              </w:rPr>
              <w:t xml:space="preserve">Koszty utrzymania </w:t>
            </w:r>
            <w:r w:rsidR="00525B68" w:rsidRPr="00421F55">
              <w:rPr>
                <w:rFonts w:ascii="Times New Roman" w:hAnsi="Times New Roman"/>
              </w:rPr>
              <w:t xml:space="preserve">Bazy sprawozdań OPP </w:t>
            </w:r>
            <w:r w:rsidR="005924C1" w:rsidRPr="00421F55">
              <w:rPr>
                <w:rFonts w:ascii="Times New Roman" w:hAnsi="Times New Roman"/>
              </w:rPr>
              <w:t>wyniosą ok</w:t>
            </w:r>
            <w:r w:rsidR="00951C75" w:rsidRPr="00421F55">
              <w:rPr>
                <w:rFonts w:ascii="Times New Roman" w:hAnsi="Times New Roman"/>
              </w:rPr>
              <w:t xml:space="preserve">. </w:t>
            </w:r>
            <w:r w:rsidR="00525B68" w:rsidRPr="00421F55">
              <w:rPr>
                <w:rFonts w:ascii="Times New Roman" w:hAnsi="Times New Roman"/>
              </w:rPr>
              <w:t>80 tys. zł. rocznie i będą pokrywane z budżetu państwa</w:t>
            </w:r>
            <w:r w:rsidR="00421F55" w:rsidRPr="00421F55">
              <w:rPr>
                <w:rFonts w:ascii="Times New Roman" w:hAnsi="Times New Roman"/>
              </w:rPr>
              <w:t xml:space="preserve"> (zostaną zapisane w części „16 – KPRM” budżetu państwa kosztem części „44 – Zabezpieczenie społeczne”. Przeniesienie środków w kolejnych latach pomiędzy częściami 44 i 16 nie będzie wiązało się ze zwiększeniem wydatków budżetu państwa)</w:t>
            </w:r>
            <w:r w:rsidR="00525B68" w:rsidRPr="00421F55">
              <w:rPr>
                <w:rFonts w:ascii="Times New Roman" w:hAnsi="Times New Roman"/>
              </w:rPr>
              <w:t xml:space="preserve">. Koszty utrzymania Generatora wniosków i sprawozdań FIO pokrywane będą z rezerwy celowej przeznaczonej na realizację Programu FIO (Priorytet V – Pomoc techniczna). </w:t>
            </w:r>
          </w:p>
          <w:p w:rsidR="008625D7" w:rsidRDefault="008625D7" w:rsidP="00113BE2">
            <w:pPr>
              <w:pStyle w:val="Zwykytekst"/>
              <w:jc w:val="both"/>
              <w:rPr>
                <w:rFonts w:ascii="Times New Roman" w:hAnsi="Times New Roman"/>
              </w:rPr>
            </w:pPr>
          </w:p>
          <w:p w:rsidR="00113BE2" w:rsidRDefault="00113BE2" w:rsidP="00113BE2">
            <w:pPr>
              <w:pStyle w:val="Zwykytekst"/>
              <w:jc w:val="both"/>
              <w:rPr>
                <w:rFonts w:ascii="Times New Roman" w:hAnsi="Times New Roman"/>
                <w:bCs/>
                <w:szCs w:val="23"/>
              </w:rPr>
            </w:pPr>
            <w:r w:rsidRPr="007820BF">
              <w:rPr>
                <w:rFonts w:ascii="Times New Roman" w:hAnsi="Times New Roman"/>
              </w:rPr>
              <w:t>W kolejnych latach możliwe jest rozszerzenie źródeł finansowania o środki pochodzą</w:t>
            </w:r>
            <w:r>
              <w:rPr>
                <w:rFonts w:ascii="Times New Roman" w:hAnsi="Times New Roman"/>
              </w:rPr>
              <w:t>ce z dopłat do gier hazardowych</w:t>
            </w:r>
            <w:r w:rsidRPr="007820BF">
              <w:rPr>
                <w:rFonts w:ascii="Times New Roman" w:hAnsi="Times New Roman"/>
              </w:rPr>
              <w:t xml:space="preserve"> </w:t>
            </w:r>
            <w:r>
              <w:rPr>
                <w:rFonts w:ascii="Times New Roman" w:hAnsi="Times New Roman"/>
              </w:rPr>
              <w:t>w związku z</w:t>
            </w:r>
            <w:r>
              <w:rPr>
                <w:rFonts w:ascii="Times New Roman" w:hAnsi="Times New Roman"/>
                <w:bCs/>
                <w:sz w:val="21"/>
              </w:rPr>
              <w:t xml:space="preserve"> art. 88a</w:t>
            </w:r>
            <w:r w:rsidRPr="007820BF">
              <w:rPr>
                <w:rFonts w:ascii="Times New Roman" w:hAnsi="Times New Roman"/>
                <w:bCs/>
                <w:sz w:val="21"/>
              </w:rPr>
              <w:t xml:space="preserve"> ustawy z dnia 19 listopada 2009 r. o grach hazardowych (Dz. U. z 2016 r. poz. 471)</w:t>
            </w:r>
            <w:r>
              <w:rPr>
                <w:rFonts w:ascii="Times New Roman" w:hAnsi="Times New Roman"/>
                <w:bCs/>
                <w:sz w:val="21"/>
              </w:rPr>
              <w:t>.</w:t>
            </w:r>
            <w:r w:rsidRPr="007820BF">
              <w:rPr>
                <w:rFonts w:ascii="Times New Roman" w:hAnsi="Times New Roman"/>
                <w:bCs/>
                <w:sz w:val="21"/>
              </w:rPr>
              <w:t xml:space="preserve"> </w:t>
            </w:r>
            <w:r>
              <w:rPr>
                <w:rFonts w:ascii="Times New Roman" w:hAnsi="Times New Roman"/>
                <w:bCs/>
                <w:sz w:val="21"/>
              </w:rPr>
              <w:t>N</w:t>
            </w:r>
            <w:r>
              <w:rPr>
                <w:rFonts w:ascii="Times New Roman" w:hAnsi="Times New Roman"/>
              </w:rPr>
              <w:t>owelizacja wprowadziła nowy</w:t>
            </w:r>
            <w:r w:rsidRPr="007820BF">
              <w:rPr>
                <w:rFonts w:ascii="Times New Roman" w:hAnsi="Times New Roman"/>
              </w:rPr>
              <w:t xml:space="preserve"> fundusz celowy </w:t>
            </w:r>
            <w:r>
              <w:rPr>
                <w:rFonts w:ascii="Times New Roman" w:hAnsi="Times New Roman"/>
              </w:rPr>
              <w:t xml:space="preserve">– Funduszu Wspierania Rozwoju Społeczeństwa Obywatelskiego. Celem nowego instrumentu finansowego jest </w:t>
            </w:r>
            <w:r w:rsidRPr="008402D3">
              <w:rPr>
                <w:rFonts w:ascii="Times New Roman" w:hAnsi="Times New Roman"/>
                <w:bCs/>
                <w:szCs w:val="23"/>
              </w:rPr>
              <w:t>wspieranie społeczeństwa obywatelskiego na drodze do wszechstronnego rozwoju poprzez wdrażanie systemowych rozwiązań służących wzmocnieniu i podnoszeniu jakości działania całego sektora pozarządowego</w:t>
            </w:r>
            <w:r>
              <w:rPr>
                <w:b/>
                <w:bCs/>
                <w:sz w:val="23"/>
                <w:szCs w:val="23"/>
              </w:rPr>
              <w:t xml:space="preserve">. </w:t>
            </w:r>
            <w:r w:rsidRPr="008402D3">
              <w:rPr>
                <w:rFonts w:ascii="Times New Roman" w:hAnsi="Times New Roman"/>
                <w:bCs/>
                <w:szCs w:val="23"/>
              </w:rPr>
              <w:t xml:space="preserve">Realizacja </w:t>
            </w:r>
            <w:r>
              <w:rPr>
                <w:rFonts w:ascii="Times New Roman" w:hAnsi="Times New Roman"/>
                <w:bCs/>
                <w:szCs w:val="23"/>
              </w:rPr>
              <w:t xml:space="preserve">zadań w tym zakresie będzie jednak przedmiotem oddzielnej regulacji określonej w art. 88a ust. 7 ww. ustawy. </w:t>
            </w:r>
          </w:p>
          <w:p w:rsidR="005924C1" w:rsidRDefault="005924C1" w:rsidP="00113BE2">
            <w:pPr>
              <w:pStyle w:val="Zwykytekst"/>
              <w:jc w:val="both"/>
              <w:rPr>
                <w:rFonts w:ascii="Times New Roman" w:hAnsi="Times New Roman"/>
                <w:bCs/>
                <w:szCs w:val="23"/>
              </w:rPr>
            </w:pPr>
          </w:p>
          <w:p w:rsidR="00113BE2" w:rsidRDefault="005924C1" w:rsidP="005924C1">
            <w:pPr>
              <w:pStyle w:val="Zwykytekst"/>
              <w:jc w:val="both"/>
              <w:rPr>
                <w:rFonts w:ascii="Times New Roman" w:hAnsi="Times New Roman"/>
              </w:rPr>
            </w:pPr>
            <w:r w:rsidRPr="005924C1">
              <w:rPr>
                <w:rFonts w:ascii="Times New Roman" w:hAnsi="Times New Roman"/>
                <w:bCs/>
                <w:szCs w:val="23"/>
              </w:rPr>
              <w:t xml:space="preserve">Projekt ustawy przewiduje możliwość ustanowienia pełnomocnika wojewody do spraw społeczeństwa obywatelskiego, nie zaś obowiązek. Wojewodowie będą mogli ustanowić pełnomocnika w ramach posiadanych środków finansowych oraz zasobów kadrowych. </w:t>
            </w:r>
            <w:r w:rsidRPr="00421F55">
              <w:rPr>
                <w:rFonts w:ascii="Times New Roman" w:hAnsi="Times New Roman"/>
                <w:bCs/>
                <w:szCs w:val="23"/>
              </w:rPr>
              <w:t xml:space="preserve">Wejście w życie projektu ustawy nie będzie miało w tym zakresie </w:t>
            </w:r>
            <w:r w:rsidRPr="00421F55">
              <w:rPr>
                <w:rFonts w:ascii="Times New Roman" w:hAnsi="Times New Roman"/>
              </w:rPr>
              <w:t>wpływu na zwiększenie wydatków administracji rządowej.</w:t>
            </w:r>
            <w:r w:rsidRPr="005924C1">
              <w:rPr>
                <w:rFonts w:ascii="Times New Roman" w:hAnsi="Times New Roman"/>
              </w:rPr>
              <w:t xml:space="preserve"> Projekt ustawy został w ramach opiniowania przesłany do wojewodów, którzy w tym nie zgłosili uwag do tej kwestii.</w:t>
            </w:r>
          </w:p>
          <w:p w:rsidR="00421F55" w:rsidRPr="005924C1" w:rsidRDefault="00421F55" w:rsidP="005924C1">
            <w:pPr>
              <w:pStyle w:val="Zwykytekst"/>
              <w:jc w:val="both"/>
              <w:rPr>
                <w:rFonts w:ascii="Times New Roman" w:hAnsi="Times New Roman"/>
                <w:sz w:val="20"/>
              </w:rPr>
            </w:pPr>
          </w:p>
        </w:tc>
      </w:tr>
      <w:tr w:rsidR="00113BE2" w:rsidRPr="00843F77" w:rsidTr="00676C8D">
        <w:trPr>
          <w:gridAfter w:val="1"/>
          <w:wAfter w:w="10" w:type="dxa"/>
          <w:trHeight w:val="345"/>
        </w:trPr>
        <w:tc>
          <w:tcPr>
            <w:tcW w:w="10937" w:type="dxa"/>
            <w:gridSpan w:val="26"/>
            <w:shd w:val="clear" w:color="auto" w:fill="99CCFF"/>
          </w:tcPr>
          <w:p w:rsidR="00113BE2" w:rsidRPr="00843F77" w:rsidRDefault="00113BE2" w:rsidP="00113BE2">
            <w:pPr>
              <w:numPr>
                <w:ilvl w:val="0"/>
                <w:numId w:val="6"/>
              </w:numPr>
              <w:spacing w:before="120" w:after="120" w:line="240" w:lineRule="auto"/>
              <w:jc w:val="both"/>
              <w:rPr>
                <w:rFonts w:ascii="Times New Roman" w:hAnsi="Times New Roman"/>
                <w:b/>
                <w:color w:val="000000"/>
                <w:spacing w:val="-2"/>
              </w:rPr>
            </w:pPr>
            <w:r w:rsidRPr="00843F77">
              <w:rPr>
                <w:rFonts w:ascii="Times New Roman" w:hAnsi="Times New Roman"/>
                <w:b/>
                <w:color w:val="000000"/>
                <w:spacing w:val="-2"/>
              </w:rPr>
              <w:lastRenderedPageBreak/>
              <w:t xml:space="preserve">Wpływ na </w:t>
            </w:r>
            <w:r w:rsidRPr="00843F77">
              <w:rPr>
                <w:rFonts w:ascii="Times New Roman" w:hAnsi="Times New Roman"/>
                <w:b/>
                <w:color w:val="000000"/>
              </w:rPr>
              <w:t xml:space="preserve">konkurencyjność gospodarki i przedsiębiorczość, w tym funkcjonowanie przedsiębiorców oraz na rodzinę, obywateli i gospodarstwa domowe </w:t>
            </w:r>
          </w:p>
        </w:tc>
      </w:tr>
      <w:tr w:rsidR="00113BE2" w:rsidRPr="00843F77" w:rsidTr="00676C8D">
        <w:trPr>
          <w:gridAfter w:val="1"/>
          <w:wAfter w:w="10" w:type="dxa"/>
          <w:trHeight w:val="142"/>
        </w:trPr>
        <w:tc>
          <w:tcPr>
            <w:tcW w:w="10937" w:type="dxa"/>
            <w:gridSpan w:val="26"/>
            <w:shd w:val="clear" w:color="auto" w:fill="FFFFFF"/>
          </w:tcPr>
          <w:p w:rsidR="00113BE2" w:rsidRPr="00843F77" w:rsidRDefault="00113BE2" w:rsidP="00113BE2">
            <w:pPr>
              <w:spacing w:line="240" w:lineRule="auto"/>
              <w:jc w:val="center"/>
              <w:rPr>
                <w:rFonts w:ascii="Times New Roman" w:hAnsi="Times New Roman"/>
                <w:color w:val="000000"/>
                <w:spacing w:val="-2"/>
                <w:sz w:val="21"/>
                <w:szCs w:val="21"/>
              </w:rPr>
            </w:pPr>
            <w:r w:rsidRPr="00843F77">
              <w:rPr>
                <w:rFonts w:ascii="Times New Roman" w:hAnsi="Times New Roman"/>
                <w:color w:val="000000"/>
                <w:spacing w:val="-2"/>
                <w:sz w:val="21"/>
                <w:szCs w:val="21"/>
              </w:rPr>
              <w:t>Skutki</w:t>
            </w:r>
          </w:p>
        </w:tc>
      </w:tr>
      <w:tr w:rsidR="00113BE2" w:rsidRPr="00843F77" w:rsidTr="001112D5">
        <w:trPr>
          <w:gridAfter w:val="1"/>
          <w:wAfter w:w="10" w:type="dxa"/>
          <w:trHeight w:val="142"/>
        </w:trPr>
        <w:tc>
          <w:tcPr>
            <w:tcW w:w="3882" w:type="dxa"/>
            <w:gridSpan w:val="7"/>
            <w:shd w:val="clear" w:color="auto" w:fill="FFFFFF"/>
          </w:tcPr>
          <w:p w:rsidR="00113BE2" w:rsidRPr="00843F77" w:rsidRDefault="00113BE2" w:rsidP="00113BE2">
            <w:pPr>
              <w:spacing w:line="240" w:lineRule="auto"/>
              <w:rPr>
                <w:rFonts w:ascii="Times New Roman" w:hAnsi="Times New Roman"/>
                <w:color w:val="000000"/>
                <w:sz w:val="21"/>
                <w:szCs w:val="21"/>
              </w:rPr>
            </w:pPr>
            <w:r w:rsidRPr="00843F77">
              <w:rPr>
                <w:rFonts w:ascii="Times New Roman" w:hAnsi="Times New Roman"/>
                <w:color w:val="000000"/>
                <w:sz w:val="21"/>
                <w:szCs w:val="21"/>
              </w:rPr>
              <w:t>Czas w latach od wejścia w życie zmian</w:t>
            </w:r>
          </w:p>
        </w:tc>
        <w:tc>
          <w:tcPr>
            <w:tcW w:w="1076" w:type="dxa"/>
            <w:gridSpan w:val="2"/>
            <w:shd w:val="clear" w:color="auto" w:fill="FFFFFF"/>
          </w:tcPr>
          <w:p w:rsidR="00113BE2" w:rsidRPr="00843F77" w:rsidRDefault="00113BE2" w:rsidP="00113BE2">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0</w:t>
            </w:r>
          </w:p>
        </w:tc>
        <w:tc>
          <w:tcPr>
            <w:tcW w:w="799" w:type="dxa"/>
            <w:gridSpan w:val="3"/>
            <w:shd w:val="clear" w:color="auto" w:fill="FFFFFF"/>
          </w:tcPr>
          <w:p w:rsidR="00113BE2" w:rsidRPr="00843F77" w:rsidRDefault="00113BE2" w:rsidP="00113BE2">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1</w:t>
            </w:r>
          </w:p>
        </w:tc>
        <w:tc>
          <w:tcPr>
            <w:tcW w:w="938" w:type="dxa"/>
            <w:gridSpan w:val="4"/>
            <w:shd w:val="clear" w:color="auto" w:fill="FFFFFF"/>
          </w:tcPr>
          <w:p w:rsidR="00113BE2" w:rsidRPr="00843F77" w:rsidRDefault="00113BE2" w:rsidP="00113BE2">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2</w:t>
            </w:r>
          </w:p>
        </w:tc>
        <w:tc>
          <w:tcPr>
            <w:tcW w:w="937" w:type="dxa"/>
            <w:gridSpan w:val="2"/>
            <w:shd w:val="clear" w:color="auto" w:fill="FFFFFF"/>
          </w:tcPr>
          <w:p w:rsidR="00113BE2" w:rsidRPr="00843F77" w:rsidRDefault="00113BE2" w:rsidP="00113BE2">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3</w:t>
            </w:r>
          </w:p>
        </w:tc>
        <w:tc>
          <w:tcPr>
            <w:tcW w:w="938" w:type="dxa"/>
            <w:gridSpan w:val="4"/>
            <w:shd w:val="clear" w:color="auto" w:fill="FFFFFF"/>
          </w:tcPr>
          <w:p w:rsidR="00113BE2" w:rsidRPr="00843F77" w:rsidRDefault="00113BE2" w:rsidP="00113BE2">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5</w:t>
            </w:r>
          </w:p>
        </w:tc>
        <w:tc>
          <w:tcPr>
            <w:tcW w:w="938" w:type="dxa"/>
            <w:gridSpan w:val="3"/>
            <w:shd w:val="clear" w:color="auto" w:fill="FFFFFF"/>
          </w:tcPr>
          <w:p w:rsidR="00113BE2" w:rsidRPr="00843F77" w:rsidRDefault="00113BE2" w:rsidP="00113BE2">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10</w:t>
            </w:r>
          </w:p>
        </w:tc>
        <w:tc>
          <w:tcPr>
            <w:tcW w:w="1429" w:type="dxa"/>
            <w:shd w:val="clear" w:color="auto" w:fill="FFFFFF"/>
          </w:tcPr>
          <w:p w:rsidR="00113BE2" w:rsidRPr="00843F77" w:rsidRDefault="00113BE2" w:rsidP="00113BE2">
            <w:pPr>
              <w:spacing w:line="240" w:lineRule="auto"/>
              <w:jc w:val="center"/>
              <w:rPr>
                <w:rFonts w:ascii="Times New Roman" w:hAnsi="Times New Roman"/>
                <w:i/>
                <w:color w:val="000000"/>
                <w:spacing w:val="-2"/>
                <w:sz w:val="21"/>
                <w:szCs w:val="21"/>
              </w:rPr>
            </w:pPr>
            <w:r w:rsidRPr="00843F77">
              <w:rPr>
                <w:rFonts w:ascii="Times New Roman" w:hAnsi="Times New Roman"/>
                <w:i/>
                <w:color w:val="000000"/>
                <w:spacing w:val="-2"/>
                <w:sz w:val="21"/>
                <w:szCs w:val="21"/>
              </w:rPr>
              <w:t>Łącznie</w:t>
            </w:r>
            <w:r w:rsidRPr="00843F77" w:rsidDel="0073273A">
              <w:rPr>
                <w:rFonts w:ascii="Times New Roman" w:hAnsi="Times New Roman"/>
                <w:i/>
                <w:color w:val="000000"/>
                <w:spacing w:val="-2"/>
                <w:sz w:val="21"/>
                <w:szCs w:val="21"/>
              </w:rPr>
              <w:t xml:space="preserve"> </w:t>
            </w:r>
            <w:r w:rsidRPr="00843F77">
              <w:rPr>
                <w:rFonts w:ascii="Times New Roman" w:hAnsi="Times New Roman"/>
                <w:i/>
                <w:color w:val="000000"/>
                <w:spacing w:val="-2"/>
                <w:sz w:val="21"/>
                <w:szCs w:val="21"/>
              </w:rPr>
              <w:t>(0-10)</w:t>
            </w:r>
          </w:p>
        </w:tc>
      </w:tr>
      <w:tr w:rsidR="008625D7" w:rsidRPr="00843F77" w:rsidTr="0017602C">
        <w:trPr>
          <w:gridAfter w:val="1"/>
          <w:wAfter w:w="10" w:type="dxa"/>
          <w:trHeight w:val="142"/>
        </w:trPr>
        <w:tc>
          <w:tcPr>
            <w:tcW w:w="1592" w:type="dxa"/>
            <w:vMerge w:val="restart"/>
            <w:shd w:val="clear" w:color="auto" w:fill="FFFFFF"/>
          </w:tcPr>
          <w:p w:rsidR="008625D7" w:rsidRPr="00843F77" w:rsidRDefault="008625D7" w:rsidP="00113BE2">
            <w:pPr>
              <w:rPr>
                <w:rFonts w:ascii="Times New Roman" w:hAnsi="Times New Roman"/>
                <w:color w:val="000000"/>
                <w:sz w:val="21"/>
                <w:szCs w:val="21"/>
              </w:rPr>
            </w:pPr>
            <w:r w:rsidRPr="00843F77">
              <w:rPr>
                <w:rFonts w:ascii="Times New Roman" w:hAnsi="Times New Roman"/>
                <w:color w:val="000000"/>
                <w:sz w:val="21"/>
                <w:szCs w:val="21"/>
              </w:rPr>
              <w:t>W ujęciu pieniężnym</w:t>
            </w:r>
          </w:p>
          <w:p w:rsidR="008625D7" w:rsidRPr="00843F77" w:rsidRDefault="008625D7" w:rsidP="00113BE2">
            <w:pPr>
              <w:rPr>
                <w:rFonts w:ascii="Times New Roman" w:hAnsi="Times New Roman"/>
                <w:spacing w:val="-2"/>
                <w:sz w:val="21"/>
                <w:szCs w:val="21"/>
              </w:rPr>
            </w:pPr>
            <w:r w:rsidRPr="00843F77">
              <w:rPr>
                <w:rFonts w:ascii="Times New Roman" w:hAnsi="Times New Roman"/>
                <w:spacing w:val="-2"/>
                <w:sz w:val="21"/>
                <w:szCs w:val="21"/>
              </w:rPr>
              <w:t xml:space="preserve">(w mln zł, </w:t>
            </w:r>
          </w:p>
          <w:p w:rsidR="008625D7" w:rsidRPr="00843F77" w:rsidRDefault="008625D7" w:rsidP="00113BE2">
            <w:pPr>
              <w:spacing w:line="240" w:lineRule="auto"/>
              <w:rPr>
                <w:rFonts w:ascii="Times New Roman" w:hAnsi="Times New Roman"/>
                <w:color w:val="000000"/>
                <w:sz w:val="21"/>
                <w:szCs w:val="21"/>
              </w:rPr>
            </w:pPr>
            <w:r w:rsidRPr="00843F77">
              <w:rPr>
                <w:rFonts w:ascii="Times New Roman" w:hAnsi="Times New Roman"/>
                <w:spacing w:val="-2"/>
                <w:sz w:val="21"/>
                <w:szCs w:val="21"/>
              </w:rPr>
              <w:t>ceny stałe z …… r.)</w:t>
            </w:r>
          </w:p>
        </w:tc>
        <w:tc>
          <w:tcPr>
            <w:tcW w:w="2290" w:type="dxa"/>
            <w:gridSpan w:val="6"/>
            <w:shd w:val="clear" w:color="auto" w:fill="FFFFFF"/>
          </w:tcPr>
          <w:p w:rsidR="008625D7" w:rsidRPr="00843F77" w:rsidRDefault="008625D7" w:rsidP="00113BE2">
            <w:pPr>
              <w:spacing w:line="240" w:lineRule="auto"/>
              <w:rPr>
                <w:rFonts w:ascii="Times New Roman" w:hAnsi="Times New Roman"/>
                <w:color w:val="000000"/>
                <w:sz w:val="21"/>
                <w:szCs w:val="21"/>
              </w:rPr>
            </w:pPr>
            <w:r w:rsidRPr="00843F77">
              <w:rPr>
                <w:rFonts w:ascii="Times New Roman" w:hAnsi="Times New Roman"/>
                <w:color w:val="000000"/>
                <w:sz w:val="21"/>
                <w:szCs w:val="21"/>
              </w:rPr>
              <w:t>duże przedsiębiorstwa</w:t>
            </w:r>
          </w:p>
        </w:tc>
        <w:tc>
          <w:tcPr>
            <w:tcW w:w="5626" w:type="dxa"/>
            <w:gridSpan w:val="18"/>
            <w:shd w:val="clear" w:color="auto" w:fill="FFFFFF"/>
          </w:tcPr>
          <w:p w:rsidR="008625D7" w:rsidRPr="00843F77" w:rsidRDefault="008625D7" w:rsidP="008625D7">
            <w:pPr>
              <w:spacing w:line="240" w:lineRule="auto"/>
              <w:jc w:val="center"/>
              <w:rPr>
                <w:rFonts w:ascii="Times New Roman" w:hAnsi="Times New Roman"/>
                <w:color w:val="000000"/>
                <w:sz w:val="21"/>
                <w:szCs w:val="21"/>
              </w:rPr>
            </w:pPr>
            <w:r>
              <w:rPr>
                <w:rFonts w:ascii="Times New Roman" w:hAnsi="Times New Roman"/>
                <w:color w:val="000000"/>
                <w:sz w:val="21"/>
                <w:szCs w:val="21"/>
              </w:rPr>
              <w:t>Brak wpływu</w:t>
            </w:r>
          </w:p>
        </w:tc>
        <w:tc>
          <w:tcPr>
            <w:tcW w:w="1429" w:type="dxa"/>
            <w:shd w:val="clear" w:color="auto" w:fill="FFFFFF"/>
          </w:tcPr>
          <w:p w:rsidR="008625D7" w:rsidRPr="00843F77" w:rsidRDefault="008625D7" w:rsidP="00113BE2">
            <w:pPr>
              <w:spacing w:line="240" w:lineRule="auto"/>
              <w:rPr>
                <w:rFonts w:ascii="Times New Roman" w:hAnsi="Times New Roman"/>
                <w:color w:val="000000"/>
                <w:spacing w:val="-2"/>
                <w:sz w:val="21"/>
                <w:szCs w:val="21"/>
              </w:rPr>
            </w:pPr>
          </w:p>
        </w:tc>
      </w:tr>
      <w:tr w:rsidR="008625D7" w:rsidRPr="00843F77" w:rsidTr="0017602C">
        <w:trPr>
          <w:gridAfter w:val="1"/>
          <w:wAfter w:w="10" w:type="dxa"/>
          <w:trHeight w:val="142"/>
        </w:trPr>
        <w:tc>
          <w:tcPr>
            <w:tcW w:w="1592" w:type="dxa"/>
            <w:vMerge/>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2290" w:type="dxa"/>
            <w:gridSpan w:val="6"/>
            <w:shd w:val="clear" w:color="auto" w:fill="FFFFFF"/>
          </w:tcPr>
          <w:p w:rsidR="008625D7" w:rsidRPr="00843F77" w:rsidRDefault="008625D7" w:rsidP="008625D7">
            <w:pPr>
              <w:spacing w:line="240" w:lineRule="auto"/>
              <w:rPr>
                <w:rFonts w:ascii="Times New Roman" w:hAnsi="Times New Roman"/>
                <w:color w:val="000000"/>
                <w:sz w:val="21"/>
                <w:szCs w:val="21"/>
              </w:rPr>
            </w:pPr>
            <w:r w:rsidRPr="00843F77">
              <w:rPr>
                <w:rFonts w:ascii="Times New Roman" w:hAnsi="Times New Roman"/>
                <w:color w:val="000000"/>
                <w:sz w:val="21"/>
                <w:szCs w:val="21"/>
              </w:rPr>
              <w:t>sektor mikro-, małych i średnich przedsiębiorstw</w:t>
            </w:r>
          </w:p>
        </w:tc>
        <w:tc>
          <w:tcPr>
            <w:tcW w:w="5626" w:type="dxa"/>
            <w:gridSpan w:val="18"/>
            <w:shd w:val="clear" w:color="auto" w:fill="FFFFFF"/>
          </w:tcPr>
          <w:p w:rsidR="008625D7" w:rsidRPr="00843F77" w:rsidRDefault="008625D7" w:rsidP="008625D7">
            <w:pPr>
              <w:spacing w:line="240" w:lineRule="auto"/>
              <w:jc w:val="center"/>
              <w:rPr>
                <w:rFonts w:ascii="Times New Roman" w:hAnsi="Times New Roman"/>
                <w:color w:val="000000"/>
                <w:sz w:val="21"/>
                <w:szCs w:val="21"/>
              </w:rPr>
            </w:pPr>
            <w:r>
              <w:rPr>
                <w:rFonts w:ascii="Times New Roman" w:hAnsi="Times New Roman"/>
                <w:color w:val="000000"/>
                <w:sz w:val="21"/>
                <w:szCs w:val="21"/>
              </w:rPr>
              <w:t>Brak wpływu</w:t>
            </w:r>
          </w:p>
        </w:tc>
        <w:tc>
          <w:tcPr>
            <w:tcW w:w="1429" w:type="dxa"/>
            <w:shd w:val="clear" w:color="auto" w:fill="FFFFFF"/>
          </w:tcPr>
          <w:p w:rsidR="008625D7" w:rsidRPr="00843F77" w:rsidRDefault="008625D7" w:rsidP="008625D7">
            <w:pPr>
              <w:spacing w:line="240" w:lineRule="auto"/>
              <w:rPr>
                <w:rFonts w:ascii="Times New Roman" w:hAnsi="Times New Roman"/>
                <w:color w:val="000000"/>
                <w:spacing w:val="-2"/>
                <w:sz w:val="21"/>
                <w:szCs w:val="21"/>
              </w:rPr>
            </w:pPr>
          </w:p>
        </w:tc>
      </w:tr>
      <w:tr w:rsidR="00372C96" w:rsidRPr="00843F77" w:rsidTr="0017602C">
        <w:trPr>
          <w:gridAfter w:val="1"/>
          <w:wAfter w:w="10" w:type="dxa"/>
          <w:trHeight w:val="142"/>
        </w:trPr>
        <w:tc>
          <w:tcPr>
            <w:tcW w:w="1592" w:type="dxa"/>
            <w:vMerge/>
            <w:shd w:val="clear" w:color="auto" w:fill="FFFFFF"/>
          </w:tcPr>
          <w:p w:rsidR="00372C96" w:rsidRPr="00843F77" w:rsidRDefault="00372C96" w:rsidP="00372C96">
            <w:pPr>
              <w:spacing w:line="240" w:lineRule="auto"/>
              <w:rPr>
                <w:rFonts w:ascii="Times New Roman" w:hAnsi="Times New Roman"/>
                <w:color w:val="000000"/>
                <w:sz w:val="21"/>
                <w:szCs w:val="21"/>
              </w:rPr>
            </w:pPr>
          </w:p>
        </w:tc>
        <w:tc>
          <w:tcPr>
            <w:tcW w:w="2290" w:type="dxa"/>
            <w:gridSpan w:val="6"/>
            <w:shd w:val="clear" w:color="auto" w:fill="FFFFFF"/>
          </w:tcPr>
          <w:p w:rsidR="00372C96" w:rsidRPr="00843F77" w:rsidRDefault="00372C96" w:rsidP="00372C96">
            <w:pPr>
              <w:spacing w:line="240" w:lineRule="auto"/>
              <w:rPr>
                <w:rFonts w:ascii="Times New Roman" w:hAnsi="Times New Roman"/>
                <w:color w:val="000000"/>
                <w:sz w:val="21"/>
                <w:szCs w:val="21"/>
              </w:rPr>
            </w:pPr>
            <w:r w:rsidRPr="00843F77">
              <w:rPr>
                <w:rFonts w:ascii="Times New Roman" w:hAnsi="Times New Roman"/>
                <w:sz w:val="21"/>
                <w:szCs w:val="21"/>
              </w:rPr>
              <w:t>rodzina, obywatele oraz gospodarstwa domowe</w:t>
            </w:r>
          </w:p>
        </w:tc>
        <w:tc>
          <w:tcPr>
            <w:tcW w:w="1076" w:type="dxa"/>
            <w:gridSpan w:val="2"/>
            <w:shd w:val="clear" w:color="auto" w:fill="FFFFFF"/>
          </w:tcPr>
          <w:p w:rsidR="00372C96" w:rsidRPr="00843F77" w:rsidRDefault="00372C96" w:rsidP="00372C96">
            <w:pPr>
              <w:spacing w:line="240" w:lineRule="auto"/>
              <w:rPr>
                <w:rFonts w:ascii="Times New Roman" w:hAnsi="Times New Roman"/>
                <w:color w:val="000000"/>
                <w:sz w:val="21"/>
                <w:szCs w:val="21"/>
              </w:rPr>
            </w:pPr>
            <w:r>
              <w:rPr>
                <w:rFonts w:ascii="Times New Roman" w:hAnsi="Times New Roman"/>
                <w:color w:val="000000"/>
                <w:sz w:val="21"/>
                <w:szCs w:val="21"/>
              </w:rPr>
              <w:t>0,48</w:t>
            </w:r>
          </w:p>
        </w:tc>
        <w:tc>
          <w:tcPr>
            <w:tcW w:w="799" w:type="dxa"/>
            <w:gridSpan w:val="3"/>
            <w:shd w:val="clear" w:color="auto" w:fill="FFFFFF"/>
          </w:tcPr>
          <w:p w:rsidR="00372C96" w:rsidRPr="00843F77" w:rsidRDefault="00372C96" w:rsidP="00372C96">
            <w:pPr>
              <w:spacing w:line="240" w:lineRule="auto"/>
              <w:rPr>
                <w:rFonts w:ascii="Times New Roman" w:hAnsi="Times New Roman"/>
                <w:color w:val="000000"/>
                <w:sz w:val="21"/>
                <w:szCs w:val="21"/>
              </w:rPr>
            </w:pPr>
            <w:r>
              <w:rPr>
                <w:rFonts w:ascii="Times New Roman" w:hAnsi="Times New Roman"/>
                <w:color w:val="000000"/>
                <w:sz w:val="21"/>
                <w:szCs w:val="21"/>
              </w:rPr>
              <w:t>1,43</w:t>
            </w:r>
          </w:p>
        </w:tc>
        <w:tc>
          <w:tcPr>
            <w:tcW w:w="938" w:type="dxa"/>
            <w:gridSpan w:val="4"/>
            <w:shd w:val="clear" w:color="auto" w:fill="FFFFFF"/>
          </w:tcPr>
          <w:p w:rsidR="00372C96" w:rsidRPr="00843F77" w:rsidRDefault="00372C96" w:rsidP="00372C96">
            <w:pPr>
              <w:spacing w:line="240" w:lineRule="auto"/>
              <w:rPr>
                <w:rFonts w:ascii="Times New Roman" w:hAnsi="Times New Roman"/>
                <w:color w:val="000000"/>
                <w:sz w:val="21"/>
                <w:szCs w:val="21"/>
              </w:rPr>
            </w:pPr>
            <w:r>
              <w:rPr>
                <w:rFonts w:ascii="Times New Roman" w:hAnsi="Times New Roman"/>
                <w:color w:val="000000"/>
                <w:sz w:val="21"/>
                <w:szCs w:val="21"/>
              </w:rPr>
              <w:t>1,43</w:t>
            </w:r>
          </w:p>
        </w:tc>
        <w:tc>
          <w:tcPr>
            <w:tcW w:w="937" w:type="dxa"/>
            <w:gridSpan w:val="2"/>
            <w:shd w:val="clear" w:color="auto" w:fill="FFFFFF"/>
          </w:tcPr>
          <w:p w:rsidR="00372C96" w:rsidRPr="00843F77" w:rsidRDefault="00372C96" w:rsidP="00372C96">
            <w:pPr>
              <w:spacing w:line="240" w:lineRule="auto"/>
              <w:rPr>
                <w:rFonts w:ascii="Times New Roman" w:hAnsi="Times New Roman"/>
                <w:color w:val="000000"/>
                <w:sz w:val="21"/>
                <w:szCs w:val="21"/>
              </w:rPr>
            </w:pPr>
            <w:r>
              <w:rPr>
                <w:rFonts w:ascii="Times New Roman" w:hAnsi="Times New Roman"/>
                <w:color w:val="000000"/>
                <w:sz w:val="21"/>
                <w:szCs w:val="21"/>
              </w:rPr>
              <w:t>1,43</w:t>
            </w:r>
          </w:p>
        </w:tc>
        <w:tc>
          <w:tcPr>
            <w:tcW w:w="938" w:type="dxa"/>
            <w:gridSpan w:val="4"/>
            <w:shd w:val="clear" w:color="auto" w:fill="FFFFFF"/>
          </w:tcPr>
          <w:p w:rsidR="00372C96" w:rsidRPr="00843F77" w:rsidRDefault="00372C96" w:rsidP="00372C96">
            <w:pPr>
              <w:spacing w:line="240" w:lineRule="auto"/>
              <w:rPr>
                <w:rFonts w:ascii="Times New Roman" w:hAnsi="Times New Roman"/>
                <w:color w:val="000000"/>
                <w:sz w:val="21"/>
                <w:szCs w:val="21"/>
              </w:rPr>
            </w:pPr>
            <w:r>
              <w:rPr>
                <w:rFonts w:ascii="Times New Roman" w:hAnsi="Times New Roman"/>
                <w:color w:val="000000"/>
                <w:sz w:val="21"/>
                <w:szCs w:val="21"/>
              </w:rPr>
              <w:t>1,43</w:t>
            </w:r>
          </w:p>
        </w:tc>
        <w:tc>
          <w:tcPr>
            <w:tcW w:w="938" w:type="dxa"/>
            <w:gridSpan w:val="3"/>
            <w:shd w:val="clear" w:color="auto" w:fill="FFFFFF"/>
          </w:tcPr>
          <w:p w:rsidR="00372C96" w:rsidRPr="00843F77" w:rsidRDefault="00372C96" w:rsidP="00372C96">
            <w:pPr>
              <w:spacing w:line="240" w:lineRule="auto"/>
              <w:rPr>
                <w:rFonts w:ascii="Times New Roman" w:hAnsi="Times New Roman"/>
                <w:color w:val="000000"/>
                <w:sz w:val="21"/>
                <w:szCs w:val="21"/>
              </w:rPr>
            </w:pPr>
            <w:r>
              <w:rPr>
                <w:rFonts w:ascii="Times New Roman" w:hAnsi="Times New Roman"/>
                <w:color w:val="000000"/>
                <w:sz w:val="21"/>
                <w:szCs w:val="21"/>
              </w:rPr>
              <w:t>1,43</w:t>
            </w:r>
          </w:p>
        </w:tc>
        <w:tc>
          <w:tcPr>
            <w:tcW w:w="1429" w:type="dxa"/>
            <w:shd w:val="clear" w:color="auto" w:fill="FFFFFF"/>
          </w:tcPr>
          <w:p w:rsidR="00372C96" w:rsidRPr="00843F77" w:rsidRDefault="00372C96" w:rsidP="00372C96">
            <w:pPr>
              <w:spacing w:line="240" w:lineRule="auto"/>
              <w:rPr>
                <w:rFonts w:ascii="Times New Roman" w:hAnsi="Times New Roman"/>
                <w:color w:val="000000"/>
                <w:spacing w:val="-2"/>
                <w:sz w:val="21"/>
                <w:szCs w:val="21"/>
              </w:rPr>
            </w:pPr>
          </w:p>
        </w:tc>
      </w:tr>
      <w:tr w:rsidR="008625D7" w:rsidRPr="00843F77" w:rsidTr="0017602C">
        <w:trPr>
          <w:gridAfter w:val="1"/>
          <w:wAfter w:w="10" w:type="dxa"/>
          <w:trHeight w:val="142"/>
        </w:trPr>
        <w:tc>
          <w:tcPr>
            <w:tcW w:w="1592" w:type="dxa"/>
            <w:vMerge/>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2290" w:type="dxa"/>
            <w:gridSpan w:val="6"/>
            <w:shd w:val="clear" w:color="auto" w:fill="FFFFFF"/>
          </w:tcPr>
          <w:p w:rsidR="008625D7" w:rsidRPr="00843F77" w:rsidRDefault="008625D7" w:rsidP="008625D7">
            <w:pPr>
              <w:spacing w:line="240" w:lineRule="auto"/>
              <w:rPr>
                <w:rFonts w:ascii="Times New Roman" w:hAnsi="Times New Roman"/>
                <w:color w:val="000000"/>
                <w:sz w:val="21"/>
                <w:szCs w:val="21"/>
              </w:rPr>
            </w:pPr>
            <w:r w:rsidRPr="00843F77">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43F77">
              <w:rPr>
                <w:rFonts w:ascii="Times New Roman" w:hAnsi="Times New Roman"/>
                <w:color w:val="000000"/>
                <w:sz w:val="21"/>
                <w:szCs w:val="21"/>
              </w:rPr>
              <w:instrText xml:space="preserve"> FORMTEXT </w:instrText>
            </w:r>
            <w:r w:rsidRPr="00843F77">
              <w:rPr>
                <w:rFonts w:ascii="Times New Roman" w:hAnsi="Times New Roman"/>
                <w:color w:val="000000"/>
                <w:sz w:val="21"/>
                <w:szCs w:val="21"/>
              </w:rPr>
            </w:r>
            <w:r w:rsidRPr="00843F77">
              <w:rPr>
                <w:rFonts w:ascii="Times New Roman" w:hAnsi="Times New Roman"/>
                <w:color w:val="000000"/>
                <w:sz w:val="21"/>
                <w:szCs w:val="21"/>
              </w:rPr>
              <w:fldChar w:fldCharType="separate"/>
            </w:r>
            <w:r w:rsidRPr="00843F77">
              <w:rPr>
                <w:rFonts w:ascii="Times New Roman" w:hAnsi="Times New Roman"/>
                <w:noProof/>
                <w:color w:val="000000"/>
                <w:sz w:val="21"/>
                <w:szCs w:val="21"/>
              </w:rPr>
              <w:t>(dodaj/usuń)</w:t>
            </w:r>
            <w:r w:rsidRPr="00843F77">
              <w:rPr>
                <w:rFonts w:ascii="Times New Roman" w:hAnsi="Times New Roman"/>
                <w:color w:val="000000"/>
                <w:sz w:val="21"/>
                <w:szCs w:val="21"/>
              </w:rPr>
              <w:fldChar w:fldCharType="end"/>
            </w:r>
          </w:p>
        </w:tc>
        <w:tc>
          <w:tcPr>
            <w:tcW w:w="1076" w:type="dxa"/>
            <w:gridSpan w:val="2"/>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799" w:type="dxa"/>
            <w:gridSpan w:val="3"/>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938" w:type="dxa"/>
            <w:gridSpan w:val="4"/>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937" w:type="dxa"/>
            <w:gridSpan w:val="2"/>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938" w:type="dxa"/>
            <w:gridSpan w:val="4"/>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938" w:type="dxa"/>
            <w:gridSpan w:val="3"/>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1429" w:type="dxa"/>
            <w:shd w:val="clear" w:color="auto" w:fill="FFFFFF"/>
          </w:tcPr>
          <w:p w:rsidR="008625D7" w:rsidRPr="00843F77" w:rsidRDefault="008625D7" w:rsidP="008625D7">
            <w:pPr>
              <w:spacing w:line="240" w:lineRule="auto"/>
              <w:rPr>
                <w:rFonts w:ascii="Times New Roman" w:hAnsi="Times New Roman"/>
                <w:color w:val="000000"/>
                <w:spacing w:val="-2"/>
                <w:sz w:val="21"/>
                <w:szCs w:val="21"/>
              </w:rPr>
            </w:pPr>
          </w:p>
        </w:tc>
      </w:tr>
      <w:tr w:rsidR="008625D7" w:rsidRPr="00843F77" w:rsidTr="001112D5">
        <w:trPr>
          <w:gridAfter w:val="1"/>
          <w:wAfter w:w="10" w:type="dxa"/>
          <w:trHeight w:val="142"/>
        </w:trPr>
        <w:tc>
          <w:tcPr>
            <w:tcW w:w="1592" w:type="dxa"/>
            <w:vMerge w:val="restart"/>
            <w:shd w:val="clear" w:color="auto" w:fill="FFFFFF"/>
          </w:tcPr>
          <w:p w:rsidR="008625D7" w:rsidRPr="00843F77" w:rsidRDefault="008625D7" w:rsidP="008625D7">
            <w:pPr>
              <w:spacing w:line="240" w:lineRule="auto"/>
              <w:rPr>
                <w:rFonts w:ascii="Times New Roman" w:hAnsi="Times New Roman"/>
                <w:color w:val="000000"/>
                <w:sz w:val="21"/>
                <w:szCs w:val="21"/>
              </w:rPr>
            </w:pPr>
            <w:r w:rsidRPr="00843F77">
              <w:rPr>
                <w:rFonts w:ascii="Times New Roman" w:hAnsi="Times New Roman"/>
                <w:color w:val="000000"/>
                <w:sz w:val="21"/>
                <w:szCs w:val="21"/>
              </w:rPr>
              <w:t>W ujęciu niepieniężnym</w:t>
            </w:r>
          </w:p>
        </w:tc>
        <w:tc>
          <w:tcPr>
            <w:tcW w:w="2290" w:type="dxa"/>
            <w:gridSpan w:val="6"/>
            <w:shd w:val="clear" w:color="auto" w:fill="FFFFFF"/>
          </w:tcPr>
          <w:p w:rsidR="008625D7" w:rsidRPr="00843F77" w:rsidRDefault="008625D7" w:rsidP="008625D7">
            <w:pPr>
              <w:spacing w:line="240" w:lineRule="auto"/>
              <w:rPr>
                <w:rFonts w:ascii="Times New Roman" w:hAnsi="Times New Roman"/>
                <w:color w:val="000000"/>
                <w:sz w:val="21"/>
                <w:szCs w:val="21"/>
              </w:rPr>
            </w:pPr>
            <w:r w:rsidRPr="00843F77">
              <w:rPr>
                <w:rFonts w:ascii="Times New Roman" w:hAnsi="Times New Roman"/>
                <w:color w:val="000000"/>
                <w:sz w:val="21"/>
                <w:szCs w:val="21"/>
              </w:rPr>
              <w:t>duże przedsiębiorstwa</w:t>
            </w:r>
          </w:p>
        </w:tc>
        <w:tc>
          <w:tcPr>
            <w:tcW w:w="7055" w:type="dxa"/>
            <w:gridSpan w:val="19"/>
            <w:shd w:val="clear" w:color="auto" w:fill="FFFFFF"/>
          </w:tcPr>
          <w:p w:rsidR="008625D7" w:rsidRPr="00843F77" w:rsidRDefault="008625D7" w:rsidP="008625D7">
            <w:pPr>
              <w:spacing w:line="240" w:lineRule="auto"/>
              <w:jc w:val="center"/>
              <w:rPr>
                <w:rFonts w:ascii="Times New Roman" w:hAnsi="Times New Roman"/>
                <w:color w:val="000000"/>
                <w:sz w:val="21"/>
                <w:szCs w:val="21"/>
              </w:rPr>
            </w:pPr>
            <w:r>
              <w:rPr>
                <w:rFonts w:ascii="Times New Roman" w:hAnsi="Times New Roman"/>
                <w:color w:val="000000"/>
                <w:sz w:val="21"/>
                <w:szCs w:val="21"/>
              </w:rPr>
              <w:t>Brak wpływu</w:t>
            </w:r>
          </w:p>
        </w:tc>
      </w:tr>
      <w:tr w:rsidR="008625D7" w:rsidRPr="00843F77" w:rsidTr="001112D5">
        <w:trPr>
          <w:gridAfter w:val="1"/>
          <w:wAfter w:w="10" w:type="dxa"/>
          <w:trHeight w:val="142"/>
        </w:trPr>
        <w:tc>
          <w:tcPr>
            <w:tcW w:w="1592" w:type="dxa"/>
            <w:vMerge/>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2290" w:type="dxa"/>
            <w:gridSpan w:val="6"/>
            <w:shd w:val="clear" w:color="auto" w:fill="FFFFFF"/>
          </w:tcPr>
          <w:p w:rsidR="008625D7" w:rsidRPr="00843F77" w:rsidRDefault="008625D7" w:rsidP="008625D7">
            <w:pPr>
              <w:spacing w:line="240" w:lineRule="auto"/>
              <w:rPr>
                <w:rFonts w:ascii="Times New Roman" w:hAnsi="Times New Roman"/>
                <w:color w:val="000000"/>
                <w:sz w:val="21"/>
                <w:szCs w:val="21"/>
              </w:rPr>
            </w:pPr>
            <w:r w:rsidRPr="00843F77">
              <w:rPr>
                <w:rFonts w:ascii="Times New Roman" w:hAnsi="Times New Roman"/>
                <w:color w:val="000000"/>
                <w:sz w:val="21"/>
                <w:szCs w:val="21"/>
              </w:rPr>
              <w:t>sektor mikro-, małych i średnich przedsiębiorstw</w:t>
            </w:r>
          </w:p>
        </w:tc>
        <w:tc>
          <w:tcPr>
            <w:tcW w:w="7055" w:type="dxa"/>
            <w:gridSpan w:val="19"/>
            <w:shd w:val="clear" w:color="auto" w:fill="FFFFFF"/>
          </w:tcPr>
          <w:p w:rsidR="008625D7" w:rsidRPr="00843F77" w:rsidRDefault="008625D7" w:rsidP="008625D7">
            <w:pPr>
              <w:spacing w:line="240" w:lineRule="auto"/>
              <w:jc w:val="center"/>
              <w:rPr>
                <w:rFonts w:ascii="Times New Roman" w:hAnsi="Times New Roman"/>
                <w:color w:val="000000"/>
                <w:sz w:val="21"/>
                <w:szCs w:val="21"/>
              </w:rPr>
            </w:pPr>
            <w:r>
              <w:rPr>
                <w:rFonts w:ascii="Times New Roman" w:hAnsi="Times New Roman"/>
                <w:color w:val="000000"/>
                <w:sz w:val="21"/>
                <w:szCs w:val="21"/>
              </w:rPr>
              <w:t>Brak wpływu</w:t>
            </w:r>
          </w:p>
        </w:tc>
      </w:tr>
      <w:tr w:rsidR="008625D7" w:rsidRPr="00843F77" w:rsidTr="001112D5">
        <w:trPr>
          <w:gridAfter w:val="1"/>
          <w:wAfter w:w="10" w:type="dxa"/>
          <w:trHeight w:val="596"/>
        </w:trPr>
        <w:tc>
          <w:tcPr>
            <w:tcW w:w="1592" w:type="dxa"/>
            <w:vMerge/>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2290" w:type="dxa"/>
            <w:gridSpan w:val="6"/>
            <w:shd w:val="clear" w:color="auto" w:fill="FFFFFF"/>
          </w:tcPr>
          <w:p w:rsidR="008625D7" w:rsidRPr="00843F77" w:rsidRDefault="008625D7" w:rsidP="008625D7">
            <w:pPr>
              <w:tabs>
                <w:tab w:val="right" w:pos="1936"/>
              </w:tabs>
              <w:spacing w:line="240" w:lineRule="auto"/>
              <w:rPr>
                <w:rFonts w:ascii="Times New Roman" w:hAnsi="Times New Roman"/>
                <w:color w:val="000000"/>
                <w:sz w:val="21"/>
                <w:szCs w:val="21"/>
              </w:rPr>
            </w:pPr>
            <w:r w:rsidRPr="00843F77">
              <w:rPr>
                <w:rFonts w:ascii="Times New Roman" w:hAnsi="Times New Roman"/>
                <w:sz w:val="21"/>
                <w:szCs w:val="21"/>
              </w:rPr>
              <w:t>rodzina, obywatele oraz gospodarstwa domowe</w:t>
            </w:r>
            <w:r w:rsidRPr="00843F77">
              <w:rPr>
                <w:rFonts w:ascii="Times New Roman" w:hAnsi="Times New Roman"/>
                <w:color w:val="000000"/>
                <w:sz w:val="21"/>
                <w:szCs w:val="21"/>
              </w:rPr>
              <w:t xml:space="preserve"> </w:t>
            </w:r>
          </w:p>
        </w:tc>
        <w:tc>
          <w:tcPr>
            <w:tcW w:w="7055" w:type="dxa"/>
            <w:gridSpan w:val="19"/>
            <w:shd w:val="clear" w:color="auto" w:fill="FFFFFF"/>
          </w:tcPr>
          <w:p w:rsidR="008625D7" w:rsidRPr="00843F77" w:rsidRDefault="00372C96" w:rsidP="008625D7">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 xml:space="preserve">Wpływ obejmuje wynagrodzenia netto wypłacane pracownikom z tytułu pracy w Centrum oraz wynagrodzenia bezosobowe netto z tytułu umów o dzieło.  </w:t>
            </w:r>
          </w:p>
        </w:tc>
      </w:tr>
      <w:tr w:rsidR="008625D7" w:rsidRPr="00843F77" w:rsidTr="001112D5">
        <w:trPr>
          <w:gridAfter w:val="1"/>
          <w:wAfter w:w="10" w:type="dxa"/>
          <w:trHeight w:val="240"/>
        </w:trPr>
        <w:tc>
          <w:tcPr>
            <w:tcW w:w="1592" w:type="dxa"/>
            <w:vMerge/>
            <w:shd w:val="clear" w:color="auto" w:fill="FFFFFF"/>
          </w:tcPr>
          <w:p w:rsidR="008625D7" w:rsidRPr="00843F77" w:rsidRDefault="008625D7" w:rsidP="008625D7">
            <w:pPr>
              <w:spacing w:line="240" w:lineRule="auto"/>
              <w:rPr>
                <w:rFonts w:ascii="Times New Roman" w:hAnsi="Times New Roman"/>
                <w:color w:val="000000"/>
                <w:sz w:val="21"/>
                <w:szCs w:val="21"/>
              </w:rPr>
            </w:pPr>
          </w:p>
        </w:tc>
        <w:tc>
          <w:tcPr>
            <w:tcW w:w="2290" w:type="dxa"/>
            <w:gridSpan w:val="6"/>
            <w:shd w:val="clear" w:color="auto" w:fill="FFFFFF"/>
          </w:tcPr>
          <w:p w:rsidR="008625D7" w:rsidRPr="00843F77" w:rsidRDefault="008625D7" w:rsidP="008625D7">
            <w:pPr>
              <w:tabs>
                <w:tab w:val="right" w:pos="1936"/>
              </w:tabs>
              <w:rPr>
                <w:rFonts w:ascii="Times New Roman" w:hAnsi="Times New Roman"/>
                <w:sz w:val="21"/>
                <w:szCs w:val="21"/>
              </w:rPr>
            </w:pPr>
            <w:r w:rsidRPr="00843F77">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43F77">
              <w:rPr>
                <w:rFonts w:ascii="Times New Roman" w:hAnsi="Times New Roman"/>
                <w:color w:val="000000"/>
                <w:sz w:val="21"/>
                <w:szCs w:val="21"/>
              </w:rPr>
              <w:instrText xml:space="preserve"> FORMTEXT </w:instrText>
            </w:r>
            <w:r w:rsidRPr="00843F77">
              <w:rPr>
                <w:rFonts w:ascii="Times New Roman" w:hAnsi="Times New Roman"/>
                <w:color w:val="000000"/>
                <w:sz w:val="21"/>
                <w:szCs w:val="21"/>
              </w:rPr>
            </w:r>
            <w:r w:rsidRPr="00843F77">
              <w:rPr>
                <w:rFonts w:ascii="Times New Roman" w:hAnsi="Times New Roman"/>
                <w:color w:val="000000"/>
                <w:sz w:val="21"/>
                <w:szCs w:val="21"/>
              </w:rPr>
              <w:fldChar w:fldCharType="separate"/>
            </w:r>
            <w:r w:rsidRPr="00843F77">
              <w:rPr>
                <w:rFonts w:ascii="Times New Roman" w:hAnsi="Times New Roman"/>
                <w:noProof/>
                <w:color w:val="000000"/>
                <w:sz w:val="21"/>
                <w:szCs w:val="21"/>
              </w:rPr>
              <w:t>(dodaj/usuń)</w:t>
            </w:r>
            <w:r w:rsidRPr="00843F77">
              <w:rPr>
                <w:rFonts w:ascii="Times New Roman" w:hAnsi="Times New Roman"/>
                <w:color w:val="000000"/>
                <w:sz w:val="21"/>
                <w:szCs w:val="21"/>
              </w:rPr>
              <w:fldChar w:fldCharType="end"/>
            </w:r>
          </w:p>
        </w:tc>
        <w:tc>
          <w:tcPr>
            <w:tcW w:w="7055" w:type="dxa"/>
            <w:gridSpan w:val="19"/>
            <w:shd w:val="clear" w:color="auto" w:fill="FFFFFF"/>
          </w:tcPr>
          <w:p w:rsidR="008625D7" w:rsidRPr="00843F77" w:rsidRDefault="008625D7" w:rsidP="008625D7">
            <w:pPr>
              <w:tabs>
                <w:tab w:val="left" w:pos="3000"/>
              </w:tabs>
              <w:rPr>
                <w:rFonts w:ascii="Times New Roman" w:hAnsi="Times New Roman"/>
                <w:color w:val="000000"/>
                <w:spacing w:val="-2"/>
                <w:sz w:val="21"/>
                <w:szCs w:val="21"/>
              </w:rPr>
            </w:pPr>
          </w:p>
        </w:tc>
      </w:tr>
      <w:tr w:rsidR="008625D7" w:rsidRPr="00843F77" w:rsidTr="001112D5">
        <w:trPr>
          <w:gridAfter w:val="1"/>
          <w:wAfter w:w="10" w:type="dxa"/>
          <w:trHeight w:val="142"/>
        </w:trPr>
        <w:tc>
          <w:tcPr>
            <w:tcW w:w="1592" w:type="dxa"/>
            <w:vMerge w:val="restart"/>
            <w:shd w:val="clear" w:color="auto" w:fill="FFFFFF"/>
          </w:tcPr>
          <w:p w:rsidR="008625D7" w:rsidRPr="00843F77" w:rsidRDefault="008625D7" w:rsidP="008625D7">
            <w:pPr>
              <w:spacing w:line="240" w:lineRule="auto"/>
              <w:rPr>
                <w:rFonts w:ascii="Times New Roman" w:hAnsi="Times New Roman"/>
                <w:sz w:val="21"/>
                <w:szCs w:val="21"/>
              </w:rPr>
            </w:pPr>
            <w:r w:rsidRPr="00843F77">
              <w:rPr>
                <w:rFonts w:ascii="Times New Roman" w:hAnsi="Times New Roman"/>
                <w:sz w:val="21"/>
                <w:szCs w:val="21"/>
              </w:rPr>
              <w:t>Niemierzalne</w:t>
            </w:r>
          </w:p>
        </w:tc>
        <w:tc>
          <w:tcPr>
            <w:tcW w:w="2290" w:type="dxa"/>
            <w:gridSpan w:val="6"/>
            <w:shd w:val="clear" w:color="auto" w:fill="FFFFFF"/>
          </w:tcPr>
          <w:p w:rsidR="008625D7" w:rsidRPr="00843F77" w:rsidRDefault="008625D7" w:rsidP="008625D7">
            <w:pPr>
              <w:spacing w:line="240" w:lineRule="auto"/>
              <w:rPr>
                <w:rFonts w:ascii="Times New Roman" w:hAnsi="Times New Roman"/>
                <w:sz w:val="21"/>
                <w:szCs w:val="21"/>
              </w:rPr>
            </w:pPr>
            <w:r w:rsidRPr="00843F77">
              <w:rPr>
                <w:rFonts w:ascii="Times New Roman" w:hAnsi="Times New Roman"/>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43F77">
              <w:rPr>
                <w:rFonts w:ascii="Times New Roman" w:hAnsi="Times New Roman"/>
                <w:sz w:val="21"/>
                <w:szCs w:val="21"/>
              </w:rPr>
              <w:instrText xml:space="preserve"> FORMTEXT </w:instrText>
            </w:r>
            <w:r w:rsidRPr="00843F77">
              <w:rPr>
                <w:rFonts w:ascii="Times New Roman" w:hAnsi="Times New Roman"/>
                <w:sz w:val="21"/>
                <w:szCs w:val="21"/>
              </w:rPr>
            </w:r>
            <w:r w:rsidRPr="00843F77">
              <w:rPr>
                <w:rFonts w:ascii="Times New Roman" w:hAnsi="Times New Roman"/>
                <w:sz w:val="21"/>
                <w:szCs w:val="21"/>
              </w:rPr>
              <w:fldChar w:fldCharType="separate"/>
            </w:r>
            <w:r w:rsidRPr="00843F77">
              <w:rPr>
                <w:rFonts w:ascii="Times New Roman" w:hAnsi="Times New Roman"/>
                <w:noProof/>
                <w:sz w:val="21"/>
                <w:szCs w:val="21"/>
              </w:rPr>
              <w:t>(dodaj/usuń)</w:t>
            </w:r>
            <w:r w:rsidRPr="00843F77">
              <w:rPr>
                <w:rFonts w:ascii="Times New Roman" w:hAnsi="Times New Roman"/>
                <w:sz w:val="21"/>
                <w:szCs w:val="21"/>
              </w:rPr>
              <w:fldChar w:fldCharType="end"/>
            </w:r>
          </w:p>
        </w:tc>
        <w:tc>
          <w:tcPr>
            <w:tcW w:w="7055" w:type="dxa"/>
            <w:gridSpan w:val="19"/>
            <w:shd w:val="clear" w:color="auto" w:fill="FFFFFF"/>
          </w:tcPr>
          <w:p w:rsidR="008625D7" w:rsidRPr="00843F77" w:rsidRDefault="008625D7" w:rsidP="008625D7">
            <w:pPr>
              <w:spacing w:line="240" w:lineRule="auto"/>
              <w:rPr>
                <w:rFonts w:ascii="Times New Roman" w:hAnsi="Times New Roman"/>
                <w:spacing w:val="-2"/>
                <w:sz w:val="21"/>
                <w:szCs w:val="21"/>
              </w:rPr>
            </w:pPr>
          </w:p>
        </w:tc>
      </w:tr>
      <w:tr w:rsidR="008625D7" w:rsidRPr="00843F77" w:rsidTr="001112D5">
        <w:trPr>
          <w:gridAfter w:val="1"/>
          <w:wAfter w:w="10" w:type="dxa"/>
          <w:trHeight w:val="142"/>
        </w:trPr>
        <w:tc>
          <w:tcPr>
            <w:tcW w:w="1592" w:type="dxa"/>
            <w:vMerge/>
            <w:shd w:val="clear" w:color="auto" w:fill="FFFFFF"/>
          </w:tcPr>
          <w:p w:rsidR="008625D7" w:rsidRPr="00843F77" w:rsidRDefault="008625D7" w:rsidP="008625D7">
            <w:pPr>
              <w:spacing w:line="240" w:lineRule="auto"/>
              <w:rPr>
                <w:rFonts w:ascii="Times New Roman" w:hAnsi="Times New Roman"/>
                <w:sz w:val="21"/>
                <w:szCs w:val="21"/>
              </w:rPr>
            </w:pPr>
          </w:p>
        </w:tc>
        <w:tc>
          <w:tcPr>
            <w:tcW w:w="2290" w:type="dxa"/>
            <w:gridSpan w:val="6"/>
            <w:shd w:val="clear" w:color="auto" w:fill="FFFFFF"/>
          </w:tcPr>
          <w:p w:rsidR="008625D7" w:rsidRPr="00843F77" w:rsidRDefault="008625D7" w:rsidP="008625D7">
            <w:pPr>
              <w:spacing w:line="240" w:lineRule="auto"/>
              <w:rPr>
                <w:rFonts w:ascii="Times New Roman" w:hAnsi="Times New Roman"/>
                <w:sz w:val="21"/>
                <w:szCs w:val="21"/>
              </w:rPr>
            </w:pPr>
            <w:r w:rsidRPr="00843F77">
              <w:rPr>
                <w:rFonts w:ascii="Times New Roman" w:hAnsi="Times New Roman"/>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43F77">
              <w:rPr>
                <w:rFonts w:ascii="Times New Roman" w:hAnsi="Times New Roman"/>
                <w:sz w:val="21"/>
                <w:szCs w:val="21"/>
              </w:rPr>
              <w:instrText xml:space="preserve"> FORMTEXT </w:instrText>
            </w:r>
            <w:r w:rsidRPr="00843F77">
              <w:rPr>
                <w:rFonts w:ascii="Times New Roman" w:hAnsi="Times New Roman"/>
                <w:sz w:val="21"/>
                <w:szCs w:val="21"/>
              </w:rPr>
            </w:r>
            <w:r w:rsidRPr="00843F77">
              <w:rPr>
                <w:rFonts w:ascii="Times New Roman" w:hAnsi="Times New Roman"/>
                <w:sz w:val="21"/>
                <w:szCs w:val="21"/>
              </w:rPr>
              <w:fldChar w:fldCharType="separate"/>
            </w:r>
            <w:r w:rsidRPr="00843F77">
              <w:rPr>
                <w:rFonts w:ascii="Times New Roman" w:hAnsi="Times New Roman"/>
                <w:noProof/>
                <w:sz w:val="21"/>
                <w:szCs w:val="21"/>
              </w:rPr>
              <w:t>(dodaj/usuń)</w:t>
            </w:r>
            <w:r w:rsidRPr="00843F77">
              <w:rPr>
                <w:rFonts w:ascii="Times New Roman" w:hAnsi="Times New Roman"/>
                <w:sz w:val="21"/>
                <w:szCs w:val="21"/>
              </w:rPr>
              <w:fldChar w:fldCharType="end"/>
            </w:r>
          </w:p>
        </w:tc>
        <w:tc>
          <w:tcPr>
            <w:tcW w:w="7055" w:type="dxa"/>
            <w:gridSpan w:val="19"/>
            <w:shd w:val="clear" w:color="auto" w:fill="FFFFFF"/>
          </w:tcPr>
          <w:p w:rsidR="008625D7" w:rsidRPr="00843F77" w:rsidRDefault="008625D7" w:rsidP="008625D7">
            <w:pPr>
              <w:spacing w:line="240" w:lineRule="auto"/>
              <w:rPr>
                <w:rFonts w:ascii="Times New Roman" w:hAnsi="Times New Roman"/>
                <w:spacing w:val="-2"/>
                <w:sz w:val="21"/>
                <w:szCs w:val="21"/>
              </w:rPr>
            </w:pPr>
          </w:p>
        </w:tc>
      </w:tr>
      <w:tr w:rsidR="008625D7" w:rsidRPr="00843F77" w:rsidTr="001112D5">
        <w:trPr>
          <w:gridAfter w:val="1"/>
          <w:wAfter w:w="10" w:type="dxa"/>
          <w:trHeight w:val="1643"/>
        </w:trPr>
        <w:tc>
          <w:tcPr>
            <w:tcW w:w="2237" w:type="dxa"/>
            <w:gridSpan w:val="2"/>
            <w:shd w:val="clear" w:color="auto" w:fill="FFFFFF"/>
          </w:tcPr>
          <w:p w:rsidR="008625D7" w:rsidRPr="00843F77" w:rsidRDefault="008625D7" w:rsidP="008625D7">
            <w:pPr>
              <w:spacing w:line="240" w:lineRule="auto"/>
              <w:rPr>
                <w:rFonts w:ascii="Times New Roman" w:hAnsi="Times New Roman"/>
                <w:color w:val="000000"/>
                <w:sz w:val="21"/>
                <w:szCs w:val="21"/>
              </w:rPr>
            </w:pPr>
            <w:r w:rsidRPr="00843F77">
              <w:rPr>
                <w:rFonts w:ascii="Times New Roman" w:hAnsi="Times New Roman"/>
                <w:color w:val="000000"/>
                <w:sz w:val="21"/>
                <w:szCs w:val="21"/>
              </w:rPr>
              <w:t xml:space="preserve">Dodatkowe informacje, w tym wskazanie źródeł danych i przyjętych do obliczeń założeń </w:t>
            </w:r>
          </w:p>
        </w:tc>
        <w:tc>
          <w:tcPr>
            <w:tcW w:w="8700" w:type="dxa"/>
            <w:gridSpan w:val="24"/>
            <w:shd w:val="clear" w:color="auto" w:fill="FFFFFF"/>
          </w:tcPr>
          <w:p w:rsidR="008625D7" w:rsidRPr="00843F77" w:rsidRDefault="00372C96" w:rsidP="00372C96">
            <w:pPr>
              <w:spacing w:line="240" w:lineRule="auto"/>
              <w:rPr>
                <w:rFonts w:ascii="Times New Roman" w:hAnsi="Times New Roman"/>
                <w:spacing w:val="-2"/>
                <w:sz w:val="21"/>
                <w:szCs w:val="21"/>
              </w:rPr>
            </w:pPr>
            <w:r>
              <w:rPr>
                <w:rFonts w:ascii="Times New Roman" w:hAnsi="Times New Roman"/>
                <w:spacing w:val="-2"/>
                <w:sz w:val="21"/>
                <w:szCs w:val="21"/>
              </w:rPr>
              <w:t>Brak wpływu na MŚP i sektor dużych przedsiębiorstw.</w:t>
            </w:r>
          </w:p>
        </w:tc>
      </w:tr>
      <w:tr w:rsidR="008625D7" w:rsidRPr="00843F77" w:rsidTr="00676C8D">
        <w:trPr>
          <w:gridAfter w:val="1"/>
          <w:wAfter w:w="10" w:type="dxa"/>
          <w:trHeight w:val="342"/>
        </w:trPr>
        <w:tc>
          <w:tcPr>
            <w:tcW w:w="10937" w:type="dxa"/>
            <w:gridSpan w:val="26"/>
            <w:shd w:val="clear" w:color="auto" w:fill="99CCFF"/>
            <w:vAlign w:val="center"/>
          </w:tcPr>
          <w:p w:rsidR="008625D7" w:rsidRPr="00843F77" w:rsidRDefault="008625D7" w:rsidP="008625D7">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t xml:space="preserve"> Zmiana obciążeń regulacyjnych (w tym obowiązków informacyjnych) wynikających z projektu</w:t>
            </w:r>
          </w:p>
        </w:tc>
      </w:tr>
      <w:tr w:rsidR="008625D7" w:rsidRPr="00843F77" w:rsidTr="00676C8D">
        <w:trPr>
          <w:gridAfter w:val="1"/>
          <w:wAfter w:w="10" w:type="dxa"/>
          <w:trHeight w:val="151"/>
        </w:trPr>
        <w:tc>
          <w:tcPr>
            <w:tcW w:w="10937" w:type="dxa"/>
            <w:gridSpan w:val="26"/>
            <w:shd w:val="clear" w:color="auto" w:fill="FFFFFF"/>
          </w:tcPr>
          <w:p w:rsidR="008625D7" w:rsidRPr="00843F77" w:rsidRDefault="008625D7" w:rsidP="008625D7">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r w:rsidRPr="00843F77">
              <w:rPr>
                <w:rFonts w:ascii="Times New Roman" w:hAnsi="Times New Roman"/>
                <w:color w:val="000000"/>
              </w:rPr>
              <w:t xml:space="preserve"> </w:t>
            </w:r>
            <w:r w:rsidRPr="00843F77">
              <w:rPr>
                <w:rFonts w:ascii="Times New Roman" w:hAnsi="Times New Roman"/>
                <w:color w:val="000000"/>
                <w:spacing w:val="-2"/>
              </w:rPr>
              <w:t>nie dotyczy</w:t>
            </w:r>
          </w:p>
        </w:tc>
      </w:tr>
      <w:tr w:rsidR="008625D7" w:rsidRPr="00843F77" w:rsidTr="001112D5">
        <w:trPr>
          <w:gridAfter w:val="1"/>
          <w:wAfter w:w="10" w:type="dxa"/>
          <w:trHeight w:val="946"/>
        </w:trPr>
        <w:tc>
          <w:tcPr>
            <w:tcW w:w="5104" w:type="dxa"/>
            <w:gridSpan w:val="10"/>
            <w:shd w:val="clear" w:color="auto" w:fill="FFFFFF"/>
          </w:tcPr>
          <w:p w:rsidR="008625D7" w:rsidRPr="00843F77" w:rsidRDefault="008625D7" w:rsidP="008625D7">
            <w:pPr>
              <w:rPr>
                <w:rFonts w:ascii="Times New Roman" w:hAnsi="Times New Roman"/>
                <w:color w:val="000000"/>
                <w:spacing w:val="-2"/>
              </w:rPr>
            </w:pPr>
            <w:r w:rsidRPr="00843F77">
              <w:rPr>
                <w:rFonts w:ascii="Times New Roman" w:hAnsi="Times New Roman"/>
                <w:color w:val="000000"/>
                <w:spacing w:val="-2"/>
              </w:rPr>
              <w:t xml:space="preserve">Wprowadzane są obciążenia poza bezwzględnie wymaganymi przez UE </w:t>
            </w:r>
            <w:r w:rsidRPr="00843F77">
              <w:rPr>
                <w:rFonts w:ascii="Times New Roman" w:hAnsi="Times New Roman"/>
                <w:color w:val="000000"/>
              </w:rPr>
              <w:t>(szczegóły w odwróconej tabeli zgodności).</w:t>
            </w:r>
          </w:p>
        </w:tc>
        <w:tc>
          <w:tcPr>
            <w:tcW w:w="5833" w:type="dxa"/>
            <w:gridSpan w:val="16"/>
            <w:shd w:val="clear" w:color="auto" w:fill="FFFFFF"/>
          </w:tcPr>
          <w:p w:rsidR="008625D7" w:rsidRPr="00843F77" w:rsidRDefault="008625D7" w:rsidP="008625D7">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tak</w:t>
            </w:r>
          </w:p>
          <w:p w:rsidR="008625D7" w:rsidRPr="00843F77" w:rsidRDefault="008625D7" w:rsidP="008625D7">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r w:rsidRPr="00843F77">
              <w:rPr>
                <w:rFonts w:ascii="Times New Roman" w:hAnsi="Times New Roman"/>
                <w:color w:val="000000"/>
              </w:rPr>
              <w:t xml:space="preserve"> nie</w:t>
            </w:r>
          </w:p>
          <w:p w:rsidR="008625D7" w:rsidRPr="00843F77" w:rsidRDefault="008625D7" w:rsidP="008625D7">
            <w:pPr>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nie dotyczy</w:t>
            </w:r>
          </w:p>
        </w:tc>
      </w:tr>
      <w:tr w:rsidR="008625D7" w:rsidRPr="00843F77" w:rsidTr="001112D5">
        <w:trPr>
          <w:gridAfter w:val="1"/>
          <w:wAfter w:w="10" w:type="dxa"/>
          <w:trHeight w:val="1245"/>
        </w:trPr>
        <w:tc>
          <w:tcPr>
            <w:tcW w:w="5104" w:type="dxa"/>
            <w:gridSpan w:val="10"/>
            <w:shd w:val="clear" w:color="auto" w:fill="FFFFFF"/>
          </w:tcPr>
          <w:p w:rsidR="008625D7" w:rsidRPr="00843F77" w:rsidRDefault="008625D7" w:rsidP="008625D7">
            <w:pPr>
              <w:spacing w:line="240" w:lineRule="auto"/>
              <w:rPr>
                <w:rFonts w:ascii="Times New Roman" w:hAnsi="Times New Roman"/>
                <w:b/>
                <w:color w:val="000000"/>
                <w:spacing w:val="-2"/>
              </w:rPr>
            </w:pPr>
            <w:r>
              <w:rPr>
                <w:rFonts w:ascii="Times New Roman" w:hAnsi="Times New Roman"/>
                <w:color w:val="000000"/>
              </w:rPr>
              <w:lastRenderedPageBreak/>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zmniejszenie liczby dokumentów</w:t>
            </w:r>
            <w:r w:rsidRPr="00843F77">
              <w:rPr>
                <w:rFonts w:ascii="Times New Roman" w:hAnsi="Times New Roman"/>
                <w:b/>
                <w:color w:val="000000"/>
                <w:spacing w:val="-2"/>
              </w:rPr>
              <w:t xml:space="preserve"> </w:t>
            </w:r>
          </w:p>
          <w:p w:rsidR="008625D7" w:rsidRPr="00843F77" w:rsidRDefault="008625D7" w:rsidP="008625D7">
            <w:pPr>
              <w:spacing w:line="240" w:lineRule="auto"/>
              <w:rPr>
                <w:rFonts w:ascii="Times New Roman" w:hAnsi="Times New Roman"/>
                <w:b/>
                <w:color w:val="000000"/>
                <w:spacing w:val="-2"/>
              </w:rPr>
            </w:pPr>
            <w:r>
              <w:rPr>
                <w:rFonts w:ascii="Times New Roman" w:hAnsi="Times New Roman"/>
                <w:b/>
                <w:color w:val="000000"/>
              </w:rPr>
              <w:fldChar w:fldCharType="begin">
                <w:ffData>
                  <w:name w:val=""/>
                  <w:enabled/>
                  <w:calcOnExit w:val="0"/>
                  <w:checkBox>
                    <w:sizeAuto/>
                    <w:default w:val="0"/>
                  </w:checkBox>
                </w:ffData>
              </w:fldChar>
            </w:r>
            <w:r>
              <w:rPr>
                <w:rFonts w:ascii="Times New Roman" w:hAnsi="Times New Roman"/>
                <w:b/>
                <w:color w:val="000000"/>
              </w:rPr>
              <w:instrText xml:space="preserve"> FORMCHECKBOX </w:instrText>
            </w:r>
            <w:r>
              <w:rPr>
                <w:rFonts w:ascii="Times New Roman" w:hAnsi="Times New Roman"/>
                <w:b/>
                <w:color w:val="000000"/>
              </w:rPr>
            </w:r>
            <w:r>
              <w:rPr>
                <w:rFonts w:ascii="Times New Roman" w:hAnsi="Times New Roman"/>
                <w:b/>
                <w:color w:val="000000"/>
              </w:rPr>
              <w:fldChar w:fldCharType="end"/>
            </w:r>
            <w:r w:rsidRPr="00843F77">
              <w:rPr>
                <w:rFonts w:ascii="Times New Roman" w:hAnsi="Times New Roman"/>
                <w:b/>
                <w:color w:val="000000"/>
                <w:sz w:val="20"/>
                <w:szCs w:val="20"/>
              </w:rPr>
              <w:t xml:space="preserve"> </w:t>
            </w:r>
            <w:r w:rsidRPr="00843F77">
              <w:rPr>
                <w:rFonts w:ascii="Times New Roman" w:hAnsi="Times New Roman"/>
                <w:color w:val="000000"/>
                <w:spacing w:val="-2"/>
              </w:rPr>
              <w:t>zmniejszenie liczby procedur</w:t>
            </w:r>
          </w:p>
          <w:p w:rsidR="008625D7" w:rsidRPr="00843F77" w:rsidRDefault="008625D7" w:rsidP="008625D7">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skrócenie czasu na załatwienie sprawy</w:t>
            </w:r>
          </w:p>
          <w:p w:rsidR="008625D7" w:rsidRPr="00843F77" w:rsidRDefault="008625D7" w:rsidP="008625D7">
            <w:pPr>
              <w:rPr>
                <w:rFonts w:ascii="Times New Roman" w:hAnsi="Times New Roman"/>
                <w:b/>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inne:</w:t>
            </w:r>
            <w:r w:rsidRPr="00843F77">
              <w:rPr>
                <w:rFonts w:ascii="Times New Roman" w:hAnsi="Times New Roman"/>
                <w:color w:val="000000"/>
              </w:rPr>
              <w:t xml:space="preserve"> </w:t>
            </w:r>
            <w:r w:rsidRPr="00843F77">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43F77">
              <w:rPr>
                <w:rFonts w:ascii="Times New Roman" w:hAnsi="Times New Roman"/>
                <w:color w:val="000000"/>
              </w:rPr>
              <w:instrText xml:space="preserve"> FORMTEXT </w:instrText>
            </w:r>
            <w:r w:rsidRPr="00843F77">
              <w:rPr>
                <w:rFonts w:ascii="Times New Roman" w:hAnsi="Times New Roman"/>
                <w:color w:val="000000"/>
              </w:rPr>
            </w:r>
            <w:r w:rsidRPr="00843F77">
              <w:rPr>
                <w:rFonts w:ascii="Times New Roman" w:hAnsi="Times New Roman"/>
                <w:color w:val="000000"/>
              </w:rPr>
              <w:fldChar w:fldCharType="separate"/>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color w:val="000000"/>
              </w:rPr>
              <w:fldChar w:fldCharType="end"/>
            </w:r>
          </w:p>
        </w:tc>
        <w:tc>
          <w:tcPr>
            <w:tcW w:w="5833" w:type="dxa"/>
            <w:gridSpan w:val="16"/>
            <w:shd w:val="clear" w:color="auto" w:fill="FFFFFF"/>
          </w:tcPr>
          <w:p w:rsidR="008625D7" w:rsidRPr="00843F77" w:rsidRDefault="008625D7" w:rsidP="008625D7">
            <w:pPr>
              <w:spacing w:line="240" w:lineRule="auto"/>
              <w:rPr>
                <w:rFonts w:ascii="Times New Roman" w:hAnsi="Times New Roman"/>
                <w:b/>
                <w:color w:val="000000"/>
                <w:spacing w:val="-2"/>
              </w:rPr>
            </w:pPr>
            <w:r w:rsidRPr="00843F77">
              <w:rPr>
                <w:rFonts w:ascii="Times New Roman" w:hAnsi="Times New Roman"/>
                <w:color w:val="000000"/>
              </w:rPr>
              <w:fldChar w:fldCharType="begin">
                <w:ffData>
                  <w:name w:val=""/>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zwiększenie liczby dokumentów</w:t>
            </w:r>
          </w:p>
          <w:p w:rsidR="008625D7" w:rsidRPr="00843F77" w:rsidRDefault="008625D7" w:rsidP="008625D7">
            <w:pPr>
              <w:spacing w:line="240" w:lineRule="auto"/>
              <w:rPr>
                <w:rFonts w:ascii="Times New Roman" w:hAnsi="Times New Roman"/>
                <w:color w:val="000000"/>
                <w:spacing w:val="-2"/>
              </w:rPr>
            </w:pPr>
            <w:r w:rsidRPr="00843F77">
              <w:rPr>
                <w:rFonts w:ascii="Times New Roman" w:hAnsi="Times New Roman"/>
                <w:b/>
                <w:color w:val="000000"/>
              </w:rPr>
              <w:fldChar w:fldCharType="begin">
                <w:ffData>
                  <w:name w:val=""/>
                  <w:enabled/>
                  <w:calcOnExit w:val="0"/>
                  <w:checkBox>
                    <w:sizeAuto/>
                    <w:default w:val="0"/>
                  </w:checkBox>
                </w:ffData>
              </w:fldChar>
            </w:r>
            <w:r w:rsidRPr="00843F77">
              <w:rPr>
                <w:rFonts w:ascii="Times New Roman" w:hAnsi="Times New Roman"/>
                <w:b/>
                <w:color w:val="000000"/>
              </w:rPr>
              <w:instrText xml:space="preserve"> FORMCHECKBOX </w:instrText>
            </w:r>
            <w:r w:rsidRPr="00843F77">
              <w:rPr>
                <w:rFonts w:ascii="Times New Roman" w:hAnsi="Times New Roman"/>
                <w:b/>
                <w:color w:val="000000"/>
              </w:rPr>
            </w:r>
            <w:r w:rsidRPr="00843F77">
              <w:rPr>
                <w:rFonts w:ascii="Times New Roman" w:hAnsi="Times New Roman"/>
                <w:b/>
                <w:color w:val="000000"/>
              </w:rPr>
              <w:fldChar w:fldCharType="end"/>
            </w:r>
            <w:r w:rsidRPr="00843F77">
              <w:rPr>
                <w:rFonts w:ascii="Times New Roman" w:hAnsi="Times New Roman"/>
                <w:b/>
                <w:color w:val="000000"/>
                <w:sz w:val="20"/>
                <w:szCs w:val="20"/>
              </w:rPr>
              <w:t xml:space="preserve"> </w:t>
            </w:r>
            <w:r w:rsidRPr="00843F77">
              <w:rPr>
                <w:rFonts w:ascii="Times New Roman" w:hAnsi="Times New Roman"/>
                <w:color w:val="000000"/>
                <w:spacing w:val="-2"/>
              </w:rPr>
              <w:t>zwiększenie liczby procedur</w:t>
            </w:r>
          </w:p>
          <w:p w:rsidR="008625D7" w:rsidRPr="00843F77" w:rsidRDefault="008625D7" w:rsidP="008625D7">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wydłużenie czasu na załatwienie sprawy</w:t>
            </w:r>
          </w:p>
          <w:p w:rsidR="008625D7" w:rsidRPr="00843F77" w:rsidRDefault="008625D7" w:rsidP="008625D7">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inne:</w:t>
            </w:r>
            <w:r w:rsidRPr="00843F77">
              <w:rPr>
                <w:rFonts w:ascii="Times New Roman" w:hAnsi="Times New Roman"/>
                <w:color w:val="000000"/>
              </w:rPr>
              <w:t xml:space="preserve"> </w:t>
            </w:r>
            <w:r w:rsidRPr="00843F77">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43F77">
              <w:rPr>
                <w:rFonts w:ascii="Times New Roman" w:hAnsi="Times New Roman"/>
                <w:color w:val="000000"/>
              </w:rPr>
              <w:instrText xml:space="preserve"> FORMTEXT </w:instrText>
            </w:r>
            <w:r w:rsidRPr="00843F77">
              <w:rPr>
                <w:rFonts w:ascii="Times New Roman" w:hAnsi="Times New Roman"/>
                <w:color w:val="000000"/>
              </w:rPr>
            </w:r>
            <w:r w:rsidRPr="00843F77">
              <w:rPr>
                <w:rFonts w:ascii="Times New Roman" w:hAnsi="Times New Roman"/>
                <w:color w:val="000000"/>
              </w:rPr>
              <w:fldChar w:fldCharType="separate"/>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color w:val="000000"/>
              </w:rPr>
              <w:fldChar w:fldCharType="end"/>
            </w:r>
          </w:p>
          <w:p w:rsidR="008625D7" w:rsidRPr="00843F77" w:rsidRDefault="008625D7" w:rsidP="008625D7">
            <w:pPr>
              <w:spacing w:line="240" w:lineRule="auto"/>
              <w:rPr>
                <w:rFonts w:ascii="Times New Roman" w:hAnsi="Times New Roman"/>
                <w:color w:val="000000"/>
              </w:rPr>
            </w:pPr>
          </w:p>
        </w:tc>
      </w:tr>
      <w:tr w:rsidR="008625D7" w:rsidRPr="00843F77" w:rsidTr="001112D5">
        <w:trPr>
          <w:gridAfter w:val="1"/>
          <w:wAfter w:w="10" w:type="dxa"/>
          <w:trHeight w:val="870"/>
        </w:trPr>
        <w:tc>
          <w:tcPr>
            <w:tcW w:w="5104" w:type="dxa"/>
            <w:gridSpan w:val="10"/>
            <w:shd w:val="clear" w:color="auto" w:fill="FFFFFF"/>
          </w:tcPr>
          <w:p w:rsidR="008625D7" w:rsidRPr="00843F77" w:rsidRDefault="008625D7" w:rsidP="008625D7">
            <w:pPr>
              <w:spacing w:line="240" w:lineRule="auto"/>
              <w:rPr>
                <w:rFonts w:ascii="Times New Roman" w:hAnsi="Times New Roman"/>
                <w:color w:val="000000"/>
              </w:rPr>
            </w:pPr>
            <w:r w:rsidRPr="00843F77">
              <w:rPr>
                <w:rFonts w:ascii="Times New Roman" w:hAnsi="Times New Roman"/>
                <w:color w:val="000000"/>
                <w:spacing w:val="-2"/>
              </w:rPr>
              <w:t xml:space="preserve">Wprowadzane obciążenia są przystosowane do ich elektronizacji. </w:t>
            </w:r>
          </w:p>
        </w:tc>
        <w:tc>
          <w:tcPr>
            <w:tcW w:w="5833" w:type="dxa"/>
            <w:gridSpan w:val="16"/>
            <w:shd w:val="clear" w:color="auto" w:fill="FFFFFF"/>
          </w:tcPr>
          <w:p w:rsidR="008625D7" w:rsidRPr="00843F77" w:rsidRDefault="008625D7" w:rsidP="008625D7">
            <w:pPr>
              <w:spacing w:line="240" w:lineRule="auto"/>
              <w:rPr>
                <w:rFonts w:ascii="Times New Roman" w:hAnsi="Times New Roman"/>
                <w:b/>
                <w:color w:val="000000"/>
              </w:rPr>
            </w:pPr>
            <w:r>
              <w:rPr>
                <w:rFonts w:ascii="Times New Roman" w:hAnsi="Times New Roman"/>
                <w:b/>
                <w:color w:val="000000"/>
              </w:rPr>
              <w:fldChar w:fldCharType="begin">
                <w:ffData>
                  <w:name w:val=""/>
                  <w:enabled/>
                  <w:calcOnExit w:val="0"/>
                  <w:checkBox>
                    <w:sizeAuto/>
                    <w:default w:val="0"/>
                  </w:checkBox>
                </w:ffData>
              </w:fldChar>
            </w:r>
            <w:r>
              <w:rPr>
                <w:rFonts w:ascii="Times New Roman" w:hAnsi="Times New Roman"/>
                <w:b/>
                <w:color w:val="000000"/>
              </w:rPr>
              <w:instrText xml:space="preserve"> FORMCHECKBOX </w:instrText>
            </w:r>
            <w:r>
              <w:rPr>
                <w:rFonts w:ascii="Times New Roman" w:hAnsi="Times New Roman"/>
                <w:b/>
                <w:color w:val="000000"/>
              </w:rPr>
            </w:r>
            <w:r>
              <w:rPr>
                <w:rFonts w:ascii="Times New Roman" w:hAnsi="Times New Roman"/>
                <w:b/>
                <w:color w:val="000000"/>
              </w:rPr>
              <w:fldChar w:fldCharType="end"/>
            </w:r>
            <w:r w:rsidRPr="00843F77">
              <w:rPr>
                <w:rFonts w:ascii="Times New Roman" w:hAnsi="Times New Roman"/>
                <w:b/>
                <w:color w:val="000000"/>
              </w:rPr>
              <w:t xml:space="preserve"> </w:t>
            </w:r>
            <w:r w:rsidRPr="00843F77">
              <w:rPr>
                <w:rFonts w:ascii="Times New Roman" w:hAnsi="Times New Roman"/>
                <w:color w:val="000000"/>
              </w:rPr>
              <w:t>tak</w:t>
            </w:r>
          </w:p>
          <w:p w:rsidR="008625D7" w:rsidRPr="00843F77" w:rsidRDefault="008625D7" w:rsidP="008625D7">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nie</w:t>
            </w:r>
          </w:p>
          <w:p w:rsidR="008625D7" w:rsidRPr="00843F77" w:rsidRDefault="008625D7" w:rsidP="008625D7">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nie dotyczy</w:t>
            </w:r>
          </w:p>
          <w:p w:rsidR="008625D7" w:rsidRPr="00843F77" w:rsidRDefault="008625D7" w:rsidP="008625D7">
            <w:pPr>
              <w:spacing w:line="240" w:lineRule="auto"/>
              <w:rPr>
                <w:rFonts w:ascii="Times New Roman" w:hAnsi="Times New Roman"/>
                <w:color w:val="000000"/>
              </w:rPr>
            </w:pPr>
          </w:p>
        </w:tc>
      </w:tr>
      <w:tr w:rsidR="008625D7" w:rsidRPr="00843F77" w:rsidTr="00676C8D">
        <w:trPr>
          <w:gridAfter w:val="1"/>
          <w:wAfter w:w="10" w:type="dxa"/>
          <w:trHeight w:val="630"/>
        </w:trPr>
        <w:tc>
          <w:tcPr>
            <w:tcW w:w="10937" w:type="dxa"/>
            <w:gridSpan w:val="26"/>
            <w:shd w:val="clear" w:color="auto" w:fill="FFFFFF"/>
          </w:tcPr>
          <w:p w:rsidR="008625D7" w:rsidRPr="005513E2" w:rsidRDefault="008625D7" w:rsidP="008625D7">
            <w:pPr>
              <w:spacing w:line="240" w:lineRule="auto"/>
              <w:jc w:val="both"/>
              <w:rPr>
                <w:rFonts w:ascii="Times New Roman" w:hAnsi="Times New Roman"/>
              </w:rPr>
            </w:pPr>
            <w:r w:rsidRPr="005513E2">
              <w:rPr>
                <w:rFonts w:ascii="Times New Roman" w:hAnsi="Times New Roman"/>
                <w:b/>
              </w:rPr>
              <w:t>Komentarz:</w:t>
            </w:r>
            <w:r w:rsidRPr="005513E2">
              <w:rPr>
                <w:rFonts w:ascii="Times New Roman" w:hAnsi="Times New Roman"/>
              </w:rPr>
              <w:t xml:space="preserve"> Projekt ustawy nie wprowadza nowych obciążeń regulacyjnych.</w:t>
            </w:r>
            <w:r w:rsidR="00BB0A41" w:rsidRPr="005513E2">
              <w:rPr>
                <w:rFonts w:ascii="Times New Roman" w:hAnsi="Times New Roman"/>
              </w:rPr>
              <w:t xml:space="preserve"> Wpływ przeniesienia FIO dla NGO: Z dniem wejścia w życie ustawy instytucją zarządzającą Funduszem Inicjatyw Obywatelskich </w:t>
            </w:r>
            <w:r w:rsidR="00951C75">
              <w:rPr>
                <w:rFonts w:ascii="Times New Roman" w:hAnsi="Times New Roman"/>
              </w:rPr>
              <w:t xml:space="preserve">i wdrażającą FIO </w:t>
            </w:r>
            <w:r w:rsidR="00BB0A41" w:rsidRPr="005513E2">
              <w:rPr>
                <w:rFonts w:ascii="Times New Roman" w:hAnsi="Times New Roman"/>
              </w:rPr>
              <w:t>stanie się Narodowe Centrum. Zmiana zakłada dokonanie przeglądu obecnych priorytetów 2-4 FIO obejmujących 13 bardzo zróżnicowanych kierunków działań oraz ok. 70 sugerowanych obszarów wsparcia priorytetami i kierunkami, które mają znacznie większy wpływ na rozwój społeczeństwa obywatelskiego, a nie są tylko uzupełnieniem zadań publicznych realizowanych przez JST. Zmianie nie powinien podlegać priorytet 1 FIO, gdy chodzi o sposób dystrybucji środków, ale większą uwagę w priorytecie należy położyć na wsparcie podmiotów i działań, które nie mogą uzyskać wsparcia przez JST, w tym media obywatelskie, lokalne organizacje strażnicze i nieformalne grupy i ruchy pełniące podobną funkcję. Zmianie ulegną wzory ofert, w tym zwłaszcza dla organizacji mniejszych przewiduje się zmniejszenie obciążeń formalnych. W procedurze selekcji ofert ciężar zostanie przeniesiony na ocenę merytoryczną. Zwiększone znaczenie w ocenie ofert będzie miała analiza potrzeb, a także przewidywana trwałość rezultatów działań. Zakłada się równy dostęp do dofinansowania wszystkich uprawnionych podmiotów. System oceny przewiduje odejście od oceny według 26 kryteriów i zastąpienie ich czterema kryteriami zagregowanymi. Zmiany zostaną wprowadzone stopniowo, pierwsza część od stycznia 2018 r., a pozostałe od 2019 r. Zmiany będą wprowadzane we współpracy z Komitetem Monitorująco-Sterującym FIO oraz z uwzględnieniem szerokich konsultacji społecznych.</w:t>
            </w:r>
          </w:p>
          <w:p w:rsidR="008625D7" w:rsidRPr="00843F77" w:rsidRDefault="008625D7" w:rsidP="00BB0A41">
            <w:pPr>
              <w:spacing w:line="240" w:lineRule="auto"/>
              <w:jc w:val="both"/>
              <w:rPr>
                <w:rFonts w:ascii="Times New Roman" w:hAnsi="Times New Roman"/>
                <w:color w:val="000000"/>
              </w:rPr>
            </w:pPr>
          </w:p>
        </w:tc>
      </w:tr>
      <w:tr w:rsidR="008625D7" w:rsidRPr="00843F77" w:rsidTr="00676C8D">
        <w:trPr>
          <w:gridAfter w:val="1"/>
          <w:wAfter w:w="10" w:type="dxa"/>
          <w:trHeight w:val="142"/>
        </w:trPr>
        <w:tc>
          <w:tcPr>
            <w:tcW w:w="10937" w:type="dxa"/>
            <w:gridSpan w:val="26"/>
            <w:shd w:val="clear" w:color="auto" w:fill="99CCFF"/>
          </w:tcPr>
          <w:p w:rsidR="008625D7" w:rsidRPr="00843F77" w:rsidRDefault="008625D7" w:rsidP="008625D7">
            <w:pPr>
              <w:numPr>
                <w:ilvl w:val="0"/>
                <w:numId w:val="6"/>
              </w:numPr>
              <w:spacing w:before="60" w:after="60" w:line="240" w:lineRule="auto"/>
              <w:jc w:val="both"/>
              <w:rPr>
                <w:rFonts w:ascii="Times New Roman" w:hAnsi="Times New Roman"/>
                <w:b/>
                <w:color w:val="000000"/>
              </w:rPr>
            </w:pPr>
            <w:r w:rsidRPr="00843F77">
              <w:rPr>
                <w:rFonts w:ascii="Times New Roman" w:hAnsi="Times New Roman"/>
                <w:b/>
                <w:color w:val="000000"/>
              </w:rPr>
              <w:t xml:space="preserve">Wpływ na rynek pracy  </w:t>
            </w:r>
          </w:p>
        </w:tc>
      </w:tr>
      <w:tr w:rsidR="008625D7" w:rsidRPr="00843F77" w:rsidTr="00676C8D">
        <w:trPr>
          <w:gridAfter w:val="1"/>
          <w:wAfter w:w="10" w:type="dxa"/>
          <w:trHeight w:val="142"/>
        </w:trPr>
        <w:tc>
          <w:tcPr>
            <w:tcW w:w="10937" w:type="dxa"/>
            <w:gridSpan w:val="26"/>
            <w:shd w:val="clear" w:color="auto" w:fill="auto"/>
          </w:tcPr>
          <w:p w:rsidR="008625D7" w:rsidRDefault="008625D7" w:rsidP="008625D7">
            <w:pPr>
              <w:autoSpaceDE w:val="0"/>
              <w:autoSpaceDN w:val="0"/>
              <w:adjustRightInd w:val="0"/>
              <w:spacing w:line="240" w:lineRule="auto"/>
              <w:jc w:val="both"/>
              <w:rPr>
                <w:rFonts w:ascii="Times New Roman" w:hAnsi="Times New Roman"/>
                <w:color w:val="000000"/>
              </w:rPr>
            </w:pPr>
          </w:p>
          <w:p w:rsidR="008625D7" w:rsidRDefault="008625D7" w:rsidP="008625D7">
            <w:pPr>
              <w:autoSpaceDE w:val="0"/>
              <w:autoSpaceDN w:val="0"/>
              <w:adjustRightInd w:val="0"/>
              <w:spacing w:line="240" w:lineRule="auto"/>
              <w:jc w:val="both"/>
              <w:rPr>
                <w:rFonts w:ascii="Times New Roman" w:hAnsi="Times New Roman"/>
                <w:color w:val="000000"/>
              </w:rPr>
            </w:pPr>
            <w:r w:rsidRPr="00843F77">
              <w:rPr>
                <w:rFonts w:ascii="Times New Roman" w:hAnsi="Times New Roman"/>
                <w:color w:val="000000"/>
              </w:rPr>
              <w:t xml:space="preserve">Powołanie Narodowego Centrum umożliwi nie tylko sprawniejszą realizację programów wsparcia oddolnych inicjatyw </w:t>
            </w:r>
            <w:r w:rsidRPr="00843F77">
              <w:rPr>
                <w:rFonts w:ascii="Times New Roman" w:hAnsi="Times New Roman"/>
                <w:color w:val="000000"/>
              </w:rPr>
              <w:br/>
              <w:t>i aktywności obywatelskiej, ale również wpłynie na rozwój i profesjonalizację stowarzyszeń i fundacji, będących jednocześnie pracodawcami, co jest korzystne dla gospodarki narodowej. Wg danych GUS, w 2014 r. przeciętne zatrudnienie na podstawie stosunku pracy w III sektorze wyniosło 125,4 tys. etatów. Utrzymuje się zatem tendencja wzrostowa – w 2012 r. było to 123,2 tys. etatów, w 2010 r. 114,4 tys., w 2005 r. 99,3 tys. a w 1997 r. 81,2 tys. Dla porównania, w Wielkiej Brytanii wg danych za 2015 r. w sektorze pozarządowym było zatrudnionych 827 tys. w tym 513 tys. na pełen etat.</w:t>
            </w:r>
          </w:p>
          <w:p w:rsidR="008625D7" w:rsidRPr="00843F77" w:rsidRDefault="008625D7" w:rsidP="008625D7">
            <w:pPr>
              <w:autoSpaceDE w:val="0"/>
              <w:autoSpaceDN w:val="0"/>
              <w:adjustRightInd w:val="0"/>
              <w:spacing w:line="240" w:lineRule="auto"/>
              <w:jc w:val="both"/>
              <w:rPr>
                <w:rFonts w:ascii="Times New Roman" w:hAnsi="Times New Roman"/>
                <w:color w:val="000000"/>
              </w:rPr>
            </w:pPr>
          </w:p>
          <w:p w:rsidR="008625D7" w:rsidRDefault="008625D7" w:rsidP="008625D7">
            <w:pPr>
              <w:autoSpaceDE w:val="0"/>
              <w:autoSpaceDN w:val="0"/>
              <w:adjustRightInd w:val="0"/>
              <w:spacing w:line="240" w:lineRule="auto"/>
              <w:jc w:val="both"/>
              <w:rPr>
                <w:rFonts w:ascii="Times New Roman" w:hAnsi="Times New Roman"/>
                <w:color w:val="000000"/>
              </w:rPr>
            </w:pPr>
            <w:r w:rsidRPr="00843F77">
              <w:rPr>
                <w:rFonts w:ascii="Times New Roman" w:hAnsi="Times New Roman"/>
                <w:color w:val="000000"/>
              </w:rPr>
              <w:t xml:space="preserve">Jak podaje GUS, w 2014 r. zatrudnienie etatowe w badanym sektorze stanowiło 0,9% przeciętnej liczby pracujących </w:t>
            </w:r>
            <w:r w:rsidRPr="00843F77">
              <w:rPr>
                <w:rFonts w:ascii="Times New Roman" w:hAnsi="Times New Roman"/>
                <w:color w:val="000000"/>
              </w:rPr>
              <w:br/>
              <w:t>w gospodarce narodowej i 1,1% w sektorze prywatnym. Przekłada się to również na wzrost udziału kosztów III sektora w PKB, który w latach 1997-2012 wzrósł z 1,2% do 1,4%. Jak piszą autorzy publikacji GUS, jeśli potraktować badany III sektor jako jednego pracodawcę, to wyprzedziłby on wszystkich największych pracodawców polskiej gospodarki. W 2012 r. zatrudnienie w jego ramach znalazło o 1/3 więcej osób niż u największego pracodawcy sektora publicznego i aż o 100 tys. osób więcej niż u największego pracodawcy sektora prywatnego</w:t>
            </w:r>
            <w:r>
              <w:rPr>
                <w:rFonts w:ascii="Times New Roman" w:hAnsi="Times New Roman"/>
                <w:color w:val="000000"/>
              </w:rPr>
              <w:t>.</w:t>
            </w:r>
          </w:p>
          <w:p w:rsidR="008625D7" w:rsidRPr="00843F77" w:rsidRDefault="008625D7" w:rsidP="008625D7">
            <w:pPr>
              <w:autoSpaceDE w:val="0"/>
              <w:autoSpaceDN w:val="0"/>
              <w:adjustRightInd w:val="0"/>
              <w:spacing w:line="240" w:lineRule="auto"/>
              <w:jc w:val="both"/>
              <w:rPr>
                <w:rFonts w:ascii="Times New Roman" w:hAnsi="Times New Roman"/>
                <w:color w:val="000000"/>
              </w:rPr>
            </w:pPr>
          </w:p>
          <w:p w:rsidR="008625D7" w:rsidRPr="00843F77" w:rsidRDefault="008625D7" w:rsidP="008625D7">
            <w:pPr>
              <w:autoSpaceDE w:val="0"/>
              <w:autoSpaceDN w:val="0"/>
              <w:adjustRightInd w:val="0"/>
              <w:spacing w:line="240" w:lineRule="auto"/>
              <w:jc w:val="both"/>
              <w:rPr>
                <w:rFonts w:ascii="Times New Roman" w:hAnsi="Times New Roman"/>
                <w:color w:val="000000"/>
              </w:rPr>
            </w:pPr>
            <w:r w:rsidRPr="00843F77">
              <w:rPr>
                <w:rFonts w:ascii="Times New Roman" w:hAnsi="Times New Roman"/>
                <w:color w:val="000000"/>
              </w:rPr>
              <w:t xml:space="preserve">Systemowe wsparcie organizacji pozarządowych przez Narodowe Centrum wpłynie na rozwój instytucjonalny nowych oraz profesjonalizację już funkcjonujących podmiotów, co z kolei przełoży się na wzrost zatrudnienia. Wg danych Stowarzyszenia Klon/Jawor za 2015 r., w typowej organizacji pozarządowej 70% pracowników ma wyższe wykształcenie. Ze względu na specyfikę III sektora, można zakładać, że nowe miejsca pracy będą obejmować również m.in. studentów i absolwentów studiów humanistycznych oraz rzadkich specjalizacji. </w:t>
            </w:r>
          </w:p>
          <w:p w:rsidR="008625D7" w:rsidRPr="00843F77" w:rsidRDefault="008625D7" w:rsidP="008625D7">
            <w:pPr>
              <w:autoSpaceDE w:val="0"/>
              <w:autoSpaceDN w:val="0"/>
              <w:adjustRightInd w:val="0"/>
              <w:spacing w:line="240" w:lineRule="auto"/>
              <w:jc w:val="both"/>
              <w:rPr>
                <w:rFonts w:ascii="Times New Roman" w:hAnsi="Times New Roman"/>
                <w:color w:val="000000"/>
              </w:rPr>
            </w:pPr>
          </w:p>
        </w:tc>
      </w:tr>
      <w:tr w:rsidR="008625D7" w:rsidRPr="00843F77" w:rsidTr="00676C8D">
        <w:trPr>
          <w:gridAfter w:val="1"/>
          <w:wAfter w:w="10" w:type="dxa"/>
          <w:trHeight w:val="142"/>
        </w:trPr>
        <w:tc>
          <w:tcPr>
            <w:tcW w:w="10937" w:type="dxa"/>
            <w:gridSpan w:val="26"/>
            <w:shd w:val="clear" w:color="auto" w:fill="99CCFF"/>
          </w:tcPr>
          <w:p w:rsidR="008625D7" w:rsidRPr="00843F77" w:rsidRDefault="008625D7" w:rsidP="008625D7">
            <w:pPr>
              <w:numPr>
                <w:ilvl w:val="0"/>
                <w:numId w:val="6"/>
              </w:numPr>
              <w:spacing w:before="60" w:after="60" w:line="240" w:lineRule="auto"/>
              <w:jc w:val="both"/>
              <w:rPr>
                <w:rFonts w:ascii="Times New Roman" w:hAnsi="Times New Roman"/>
                <w:b/>
                <w:color w:val="000000"/>
              </w:rPr>
            </w:pPr>
            <w:r w:rsidRPr="00843F77">
              <w:rPr>
                <w:rFonts w:ascii="Times New Roman" w:hAnsi="Times New Roman"/>
                <w:b/>
                <w:color w:val="000000"/>
              </w:rPr>
              <w:t>Wpływ na pozostałe obszary</w:t>
            </w:r>
          </w:p>
        </w:tc>
      </w:tr>
      <w:tr w:rsidR="008625D7" w:rsidRPr="00843F77" w:rsidTr="001112D5">
        <w:trPr>
          <w:gridAfter w:val="1"/>
          <w:wAfter w:w="10" w:type="dxa"/>
          <w:trHeight w:val="1031"/>
        </w:trPr>
        <w:tc>
          <w:tcPr>
            <w:tcW w:w="3540" w:type="dxa"/>
            <w:gridSpan w:val="5"/>
            <w:shd w:val="clear" w:color="auto" w:fill="FFFFFF"/>
          </w:tcPr>
          <w:p w:rsidR="008625D7" w:rsidRPr="00843F77" w:rsidRDefault="008625D7" w:rsidP="008625D7">
            <w:pPr>
              <w:spacing w:line="240" w:lineRule="auto"/>
              <w:rPr>
                <w:rFonts w:ascii="Times New Roman" w:hAnsi="Times New Roman"/>
                <w:color w:val="000000"/>
              </w:rPr>
            </w:pPr>
          </w:p>
          <w:p w:rsidR="008625D7" w:rsidRPr="00843F77" w:rsidRDefault="008625D7" w:rsidP="008625D7">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środowisko naturalne</w:t>
            </w:r>
          </w:p>
          <w:p w:rsidR="008625D7" w:rsidRPr="00843F77" w:rsidRDefault="008625D7" w:rsidP="008625D7">
            <w:pPr>
              <w:spacing w:line="240" w:lineRule="auto"/>
              <w:rPr>
                <w:rFonts w:ascii="Times New Roman" w:hAnsi="Times New Roman"/>
                <w:color w:val="000000"/>
              </w:rPr>
            </w:pPr>
            <w:r w:rsidRPr="00843F77">
              <w:rPr>
                <w:rFonts w:ascii="Times New Roman" w:hAnsi="Times New Roman"/>
                <w:color w:val="000000"/>
              </w:rPr>
              <w:fldChar w:fldCharType="begin">
                <w:ffData>
                  <w:name w:val=""/>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rPr>
              <w:t>sytuacja i rozwój regionalny</w:t>
            </w:r>
          </w:p>
          <w:p w:rsidR="008625D7" w:rsidRPr="00843F77" w:rsidRDefault="008625D7" w:rsidP="008625D7">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
                  <w:enabled/>
                  <w:calcOnExit w:val="0"/>
                  <w:checkBox>
                    <w:sizeAuto/>
                    <w:default w:val="1"/>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b/>
                <w:color w:val="000000"/>
                <w:spacing w:val="-2"/>
              </w:rPr>
              <w:t>inne:</w:t>
            </w:r>
            <w:r w:rsidRPr="00843F77">
              <w:rPr>
                <w:rFonts w:ascii="Times New Roman" w:hAnsi="Times New Roman"/>
                <w:color w:val="000000"/>
                <w:spacing w:val="-2"/>
              </w:rPr>
              <w:t xml:space="preserve"> </w:t>
            </w:r>
            <w:r w:rsidRPr="00843F77">
              <w:rPr>
                <w:rFonts w:ascii="Times New Roman" w:hAnsi="Times New Roman"/>
                <w:b/>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43F77">
              <w:rPr>
                <w:rFonts w:ascii="Times New Roman" w:hAnsi="Times New Roman"/>
                <w:b/>
                <w:color w:val="000000"/>
              </w:rPr>
              <w:instrText xml:space="preserve"> FORMTEXT </w:instrText>
            </w:r>
            <w:r w:rsidRPr="00843F77">
              <w:rPr>
                <w:rFonts w:ascii="Times New Roman" w:hAnsi="Times New Roman"/>
                <w:b/>
                <w:color w:val="000000"/>
              </w:rPr>
            </w:r>
            <w:r w:rsidRPr="00843F77">
              <w:rPr>
                <w:rFonts w:ascii="Times New Roman" w:hAnsi="Times New Roman"/>
                <w:b/>
                <w:color w:val="000000"/>
              </w:rPr>
              <w:fldChar w:fldCharType="separate"/>
            </w:r>
            <w:r w:rsidRPr="00843F77">
              <w:rPr>
                <w:rFonts w:ascii="Times New Roman" w:hAnsi="Times New Roman"/>
                <w:b/>
                <w:noProof/>
                <w:color w:val="000000"/>
              </w:rPr>
              <w:t> </w:t>
            </w:r>
            <w:r w:rsidRPr="00843F77">
              <w:rPr>
                <w:rFonts w:ascii="Times New Roman" w:hAnsi="Times New Roman"/>
                <w:b/>
                <w:noProof/>
                <w:color w:val="000000"/>
              </w:rPr>
              <w:t> </w:t>
            </w:r>
            <w:r w:rsidRPr="00843F77">
              <w:rPr>
                <w:rFonts w:ascii="Times New Roman" w:hAnsi="Times New Roman"/>
                <w:b/>
                <w:noProof/>
                <w:color w:val="000000"/>
              </w:rPr>
              <w:t> </w:t>
            </w:r>
            <w:r w:rsidRPr="00843F77">
              <w:rPr>
                <w:rFonts w:ascii="Times New Roman" w:hAnsi="Times New Roman"/>
                <w:b/>
                <w:noProof/>
                <w:color w:val="000000"/>
              </w:rPr>
              <w:t> </w:t>
            </w:r>
            <w:r w:rsidRPr="00843F77">
              <w:rPr>
                <w:rFonts w:ascii="Times New Roman" w:hAnsi="Times New Roman"/>
                <w:b/>
                <w:noProof/>
                <w:color w:val="000000"/>
              </w:rPr>
              <w:t> </w:t>
            </w:r>
            <w:r w:rsidRPr="00843F77">
              <w:rPr>
                <w:rFonts w:ascii="Times New Roman" w:hAnsi="Times New Roman"/>
                <w:b/>
                <w:color w:val="000000"/>
              </w:rPr>
              <w:fldChar w:fldCharType="end"/>
            </w:r>
            <w:r w:rsidRPr="00843F77">
              <w:rPr>
                <w:rFonts w:ascii="Times New Roman" w:hAnsi="Times New Roman"/>
                <w:color w:val="000000"/>
              </w:rPr>
              <w:t>rozwój społeczeństwa obywatelskiego</w:t>
            </w:r>
          </w:p>
        </w:tc>
        <w:tc>
          <w:tcPr>
            <w:tcW w:w="3687" w:type="dxa"/>
            <w:gridSpan w:val="12"/>
            <w:shd w:val="clear" w:color="auto" w:fill="FFFFFF"/>
          </w:tcPr>
          <w:p w:rsidR="008625D7" w:rsidRPr="00843F77" w:rsidRDefault="008625D7" w:rsidP="008625D7">
            <w:pPr>
              <w:spacing w:line="240" w:lineRule="auto"/>
              <w:rPr>
                <w:rFonts w:ascii="Times New Roman" w:hAnsi="Times New Roman"/>
                <w:color w:val="000000"/>
              </w:rPr>
            </w:pPr>
          </w:p>
          <w:p w:rsidR="008625D7" w:rsidRPr="00843F77" w:rsidRDefault="008625D7" w:rsidP="008625D7">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demografia</w:t>
            </w:r>
          </w:p>
          <w:p w:rsidR="008625D7" w:rsidRPr="00843F77" w:rsidRDefault="008625D7" w:rsidP="008625D7">
            <w:pPr>
              <w:spacing w:line="240" w:lineRule="auto"/>
              <w:rPr>
                <w:rFonts w:ascii="Times New Roman" w:hAnsi="Times New Roman"/>
                <w:color w:val="000000"/>
              </w:rPr>
            </w:pPr>
            <w:r w:rsidRPr="00843F77">
              <w:rPr>
                <w:rFonts w:ascii="Times New Roman" w:hAnsi="Times New Roman"/>
                <w:color w:val="000000"/>
              </w:rPr>
              <w:fldChar w:fldCharType="begin">
                <w:ffData>
                  <w:name w:val=""/>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rPr>
              <w:t>mienie państwowe</w:t>
            </w:r>
          </w:p>
        </w:tc>
        <w:tc>
          <w:tcPr>
            <w:tcW w:w="3710" w:type="dxa"/>
            <w:gridSpan w:val="9"/>
            <w:shd w:val="clear" w:color="auto" w:fill="FFFFFF"/>
          </w:tcPr>
          <w:p w:rsidR="008625D7" w:rsidRPr="00843F77" w:rsidRDefault="008625D7" w:rsidP="008625D7">
            <w:pPr>
              <w:spacing w:line="240" w:lineRule="auto"/>
              <w:rPr>
                <w:rFonts w:ascii="Times New Roman" w:hAnsi="Times New Roman"/>
                <w:color w:val="000000"/>
              </w:rPr>
            </w:pPr>
          </w:p>
          <w:p w:rsidR="008625D7" w:rsidRPr="00843F77" w:rsidRDefault="008625D7" w:rsidP="008625D7">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informatyzacja</w:t>
            </w:r>
          </w:p>
          <w:p w:rsidR="008625D7" w:rsidRPr="00843F77" w:rsidRDefault="008625D7" w:rsidP="008625D7">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zdrowie</w:t>
            </w:r>
          </w:p>
        </w:tc>
      </w:tr>
      <w:tr w:rsidR="008625D7" w:rsidRPr="00843F77" w:rsidTr="001112D5">
        <w:trPr>
          <w:gridAfter w:val="1"/>
          <w:wAfter w:w="10" w:type="dxa"/>
          <w:trHeight w:val="712"/>
        </w:trPr>
        <w:tc>
          <w:tcPr>
            <w:tcW w:w="2237" w:type="dxa"/>
            <w:gridSpan w:val="2"/>
            <w:shd w:val="clear" w:color="auto" w:fill="FFFFFF"/>
            <w:vAlign w:val="center"/>
          </w:tcPr>
          <w:p w:rsidR="008625D7" w:rsidRPr="00843F77" w:rsidRDefault="008625D7" w:rsidP="008625D7">
            <w:pPr>
              <w:spacing w:line="240" w:lineRule="auto"/>
              <w:rPr>
                <w:rFonts w:ascii="Times New Roman" w:hAnsi="Times New Roman"/>
                <w:color w:val="000000"/>
              </w:rPr>
            </w:pPr>
            <w:r w:rsidRPr="00843F77">
              <w:rPr>
                <w:rFonts w:ascii="Times New Roman" w:hAnsi="Times New Roman"/>
                <w:color w:val="000000"/>
              </w:rPr>
              <w:t>Omówienie wpływu</w:t>
            </w:r>
          </w:p>
        </w:tc>
        <w:tc>
          <w:tcPr>
            <w:tcW w:w="8700" w:type="dxa"/>
            <w:gridSpan w:val="24"/>
            <w:shd w:val="clear" w:color="auto" w:fill="FFFFFF"/>
            <w:vAlign w:val="center"/>
          </w:tcPr>
          <w:p w:rsidR="008625D7" w:rsidRDefault="008625D7" w:rsidP="008625D7">
            <w:pPr>
              <w:spacing w:line="240" w:lineRule="auto"/>
              <w:jc w:val="both"/>
              <w:rPr>
                <w:rFonts w:ascii="Times New Roman" w:hAnsi="Times New Roman"/>
                <w:bCs/>
                <w:color w:val="000000"/>
                <w:spacing w:val="-2"/>
              </w:rPr>
            </w:pPr>
          </w:p>
          <w:p w:rsidR="008625D7" w:rsidRDefault="008625D7" w:rsidP="008625D7">
            <w:pPr>
              <w:spacing w:line="240" w:lineRule="auto"/>
              <w:jc w:val="both"/>
              <w:rPr>
                <w:rFonts w:ascii="Times New Roman" w:hAnsi="Times New Roman"/>
                <w:bCs/>
                <w:color w:val="000000"/>
                <w:spacing w:val="-2"/>
              </w:rPr>
            </w:pPr>
            <w:r w:rsidRPr="00843F77">
              <w:rPr>
                <w:rFonts w:ascii="Times New Roman" w:hAnsi="Times New Roman"/>
                <w:bCs/>
                <w:color w:val="000000"/>
                <w:spacing w:val="-2"/>
              </w:rPr>
              <w:t>Przewiduje się, iż zaproponowane w ustawie rozwiązania będą skutkować wysoką skutecznością wykonywania zadań przez Narodowe Centrum Rozwoju Społeczeństwa Obywatelskiego oraz pozwolą na efektywne wydatkowanie środków publicznych przeznaczonych na rozwój społeczeństwa obywatelskiego, w tym środków ze źródeł zagranicznych</w:t>
            </w:r>
            <w:r w:rsidRPr="00843F77">
              <w:rPr>
                <w:rFonts w:ascii="Times New Roman" w:hAnsi="Times New Roman"/>
                <w:bCs/>
                <w:i/>
                <w:color w:val="000000"/>
                <w:spacing w:val="-2"/>
              </w:rPr>
              <w:t xml:space="preserve">. </w:t>
            </w:r>
            <w:r w:rsidRPr="00843F77">
              <w:rPr>
                <w:rFonts w:ascii="Times New Roman" w:hAnsi="Times New Roman"/>
                <w:bCs/>
                <w:color w:val="000000"/>
                <w:spacing w:val="-2"/>
              </w:rPr>
              <w:t xml:space="preserve">Ponadto, szeroki zakres zadań Narodowego Centrum Rozwoju Społeczeństwa Obywatelskiego ma na celu uczynienie </w:t>
            </w:r>
            <w:r w:rsidRPr="00843F77">
              <w:rPr>
                <w:rFonts w:ascii="Times New Roman" w:hAnsi="Times New Roman"/>
                <w:bCs/>
                <w:color w:val="000000"/>
                <w:spacing w:val="-2"/>
              </w:rPr>
              <w:br/>
            </w:r>
            <w:r w:rsidRPr="00843F77">
              <w:rPr>
                <w:rFonts w:ascii="Times New Roman" w:hAnsi="Times New Roman"/>
                <w:bCs/>
                <w:color w:val="000000"/>
                <w:spacing w:val="-2"/>
              </w:rPr>
              <w:lastRenderedPageBreak/>
              <w:t xml:space="preserve">z tej jednostki faktycznego podmiotu odpowiedzialnego za rozwój społeczeństwa obywatelskiego, który nie będzie ograniczał się jedynie do zagadnień sfery pożytku publicznego i wolontariatu. </w:t>
            </w:r>
          </w:p>
          <w:p w:rsidR="008625D7" w:rsidRPr="00843F77" w:rsidRDefault="008625D7" w:rsidP="008625D7">
            <w:pPr>
              <w:spacing w:line="240" w:lineRule="auto"/>
              <w:jc w:val="both"/>
              <w:rPr>
                <w:rFonts w:ascii="Times New Roman" w:hAnsi="Times New Roman"/>
                <w:bCs/>
                <w:color w:val="000000"/>
                <w:spacing w:val="-2"/>
              </w:rPr>
            </w:pPr>
          </w:p>
          <w:p w:rsidR="008625D7" w:rsidRDefault="008625D7" w:rsidP="008625D7">
            <w:pPr>
              <w:spacing w:line="240" w:lineRule="auto"/>
              <w:jc w:val="both"/>
              <w:rPr>
                <w:rFonts w:ascii="Times New Roman" w:hAnsi="Times New Roman"/>
                <w:bCs/>
                <w:color w:val="000000"/>
                <w:spacing w:val="-2"/>
              </w:rPr>
            </w:pPr>
            <w:r w:rsidRPr="007820BF">
              <w:rPr>
                <w:rFonts w:ascii="Times New Roman" w:hAnsi="Times New Roman"/>
                <w:bCs/>
                <w:color w:val="000000"/>
                <w:spacing w:val="-2"/>
              </w:rPr>
              <w:t xml:space="preserve">Projektowana instytucja jako operator nowych przekrojowych programów finansowego i operacyjnego wsparcia organizacji pozarządowych będzie działać zgodnie z najlepszymi standardami grantodawstwa. </w:t>
            </w:r>
            <w:r>
              <w:rPr>
                <w:rFonts w:ascii="Times New Roman" w:hAnsi="Times New Roman"/>
                <w:bCs/>
                <w:color w:val="000000"/>
                <w:spacing w:val="-2"/>
              </w:rPr>
              <w:t>U</w:t>
            </w:r>
            <w:r w:rsidRPr="007820BF">
              <w:rPr>
                <w:rFonts w:ascii="Times New Roman" w:hAnsi="Times New Roman"/>
                <w:bCs/>
                <w:color w:val="000000"/>
                <w:spacing w:val="-2"/>
              </w:rPr>
              <w:t>ruchomienie Funduszu Grantów Instytucjonalnych i Funduszu Inicjatyw Edukacyjnych</w:t>
            </w:r>
            <w:r>
              <w:rPr>
                <w:rFonts w:ascii="Times New Roman" w:hAnsi="Times New Roman"/>
                <w:bCs/>
                <w:color w:val="000000"/>
                <w:spacing w:val="-2"/>
              </w:rPr>
              <w:t xml:space="preserve"> </w:t>
            </w:r>
            <w:r w:rsidRPr="007820BF">
              <w:rPr>
                <w:rFonts w:ascii="Times New Roman" w:hAnsi="Times New Roman"/>
                <w:bCs/>
                <w:color w:val="000000"/>
                <w:spacing w:val="-2"/>
              </w:rPr>
              <w:t xml:space="preserve">w połączeniu z już istniejącym Funduszem Inicjatyw Obywatelskich będzie impulsem rozwojowym dla organizacji pozarządowych z całej Polski. </w:t>
            </w:r>
            <w:r>
              <w:rPr>
                <w:rFonts w:ascii="Times New Roman" w:hAnsi="Times New Roman"/>
                <w:bCs/>
                <w:color w:val="000000"/>
                <w:spacing w:val="-2"/>
              </w:rPr>
              <w:t>W kolejnych latach p</w:t>
            </w:r>
            <w:r w:rsidRPr="007820BF">
              <w:rPr>
                <w:rFonts w:ascii="Times New Roman" w:hAnsi="Times New Roman"/>
                <w:bCs/>
                <w:color w:val="000000"/>
                <w:spacing w:val="-2"/>
              </w:rPr>
              <w:t>rzewidywane jest zwiększenie środków na dotacje o co najmniej kilkadziesiąt procent w stosunku do środków, którymi dysponuje obecnie FIO.</w:t>
            </w:r>
          </w:p>
          <w:p w:rsidR="008625D7" w:rsidRPr="00843F77" w:rsidRDefault="008625D7" w:rsidP="008625D7">
            <w:pPr>
              <w:spacing w:line="240" w:lineRule="auto"/>
              <w:jc w:val="both"/>
              <w:rPr>
                <w:rFonts w:ascii="Times New Roman" w:hAnsi="Times New Roman"/>
                <w:bCs/>
                <w:color w:val="000000"/>
                <w:spacing w:val="-2"/>
              </w:rPr>
            </w:pPr>
          </w:p>
          <w:p w:rsidR="008625D7" w:rsidRPr="00843F77" w:rsidRDefault="008625D7" w:rsidP="008625D7">
            <w:pPr>
              <w:spacing w:line="240" w:lineRule="auto"/>
              <w:jc w:val="both"/>
              <w:rPr>
                <w:rFonts w:ascii="Times New Roman" w:hAnsi="Times New Roman"/>
                <w:color w:val="000000"/>
                <w:spacing w:val="-2"/>
              </w:rPr>
            </w:pPr>
            <w:r w:rsidRPr="00843F77">
              <w:rPr>
                <w:rFonts w:ascii="Times New Roman" w:hAnsi="Times New Roman"/>
                <w:bCs/>
                <w:color w:val="000000"/>
                <w:spacing w:val="-2"/>
              </w:rPr>
              <w:t xml:space="preserve"> Międzyresortowy charakter Narodowego Centrum Rozwoju Społeczeństwa Obywatelskiego wprowadzi horyzontalną perspektywę i polepszy koordynację polityk państwa, nakierowanych </w:t>
            </w:r>
            <w:r w:rsidRPr="00843F77">
              <w:rPr>
                <w:rFonts w:ascii="Times New Roman" w:hAnsi="Times New Roman"/>
                <w:bCs/>
                <w:color w:val="000000"/>
                <w:spacing w:val="-2"/>
              </w:rPr>
              <w:br/>
              <w:t xml:space="preserve">na rozwój instytucji społeczeństwa obywatelskiego. Jednocześnie Narodowe Centrum pozostawi resortom przysługujące im obecnie możliwości współpracy z organizacjami pozarządowymi </w:t>
            </w:r>
            <w:r w:rsidRPr="00843F77">
              <w:rPr>
                <w:rFonts w:ascii="Times New Roman" w:hAnsi="Times New Roman"/>
                <w:bCs/>
                <w:color w:val="000000"/>
                <w:spacing w:val="-2"/>
              </w:rPr>
              <w:br/>
              <w:t>i realizacji własnych programów wsparcia.</w:t>
            </w:r>
          </w:p>
          <w:p w:rsidR="008625D7" w:rsidRPr="00843F77" w:rsidRDefault="008625D7" w:rsidP="008625D7">
            <w:pPr>
              <w:spacing w:line="240" w:lineRule="auto"/>
              <w:jc w:val="both"/>
              <w:rPr>
                <w:rFonts w:ascii="Times New Roman" w:hAnsi="Times New Roman"/>
                <w:color w:val="000000"/>
                <w:spacing w:val="-2"/>
              </w:rPr>
            </w:pPr>
          </w:p>
        </w:tc>
      </w:tr>
      <w:tr w:rsidR="008625D7" w:rsidRPr="00843F77" w:rsidTr="00676C8D">
        <w:trPr>
          <w:gridAfter w:val="1"/>
          <w:wAfter w:w="10" w:type="dxa"/>
          <w:trHeight w:val="142"/>
        </w:trPr>
        <w:tc>
          <w:tcPr>
            <w:tcW w:w="10937" w:type="dxa"/>
            <w:gridSpan w:val="26"/>
            <w:shd w:val="clear" w:color="auto" w:fill="99CCFF"/>
          </w:tcPr>
          <w:p w:rsidR="008625D7" w:rsidRPr="00843F77" w:rsidRDefault="008625D7" w:rsidP="008625D7">
            <w:pPr>
              <w:numPr>
                <w:ilvl w:val="0"/>
                <w:numId w:val="6"/>
              </w:numPr>
              <w:spacing w:before="60" w:after="60" w:line="240" w:lineRule="auto"/>
              <w:ind w:left="318" w:hanging="284"/>
              <w:jc w:val="both"/>
              <w:rPr>
                <w:rFonts w:ascii="Times New Roman" w:hAnsi="Times New Roman"/>
                <w:b/>
              </w:rPr>
            </w:pPr>
            <w:r w:rsidRPr="00843F77">
              <w:rPr>
                <w:rFonts w:ascii="Times New Roman" w:hAnsi="Times New Roman"/>
                <w:b/>
                <w:spacing w:val="-2"/>
                <w:sz w:val="21"/>
                <w:szCs w:val="21"/>
              </w:rPr>
              <w:lastRenderedPageBreak/>
              <w:t>Planowane wykonanie przepisów aktu prawnego</w:t>
            </w:r>
          </w:p>
        </w:tc>
      </w:tr>
      <w:tr w:rsidR="008625D7" w:rsidRPr="00843F77" w:rsidTr="00676C8D">
        <w:trPr>
          <w:gridAfter w:val="1"/>
          <w:wAfter w:w="10" w:type="dxa"/>
          <w:trHeight w:val="142"/>
        </w:trPr>
        <w:tc>
          <w:tcPr>
            <w:tcW w:w="10937" w:type="dxa"/>
            <w:gridSpan w:val="26"/>
            <w:shd w:val="clear" w:color="auto" w:fill="FFFFFF"/>
          </w:tcPr>
          <w:p w:rsidR="008625D7" w:rsidRDefault="008625D7" w:rsidP="008625D7">
            <w:pPr>
              <w:spacing w:line="240" w:lineRule="auto"/>
              <w:jc w:val="both"/>
              <w:rPr>
                <w:rFonts w:ascii="Times New Roman" w:hAnsi="Times New Roman"/>
                <w:spacing w:val="-2"/>
              </w:rPr>
            </w:pPr>
          </w:p>
          <w:p w:rsidR="008625D7" w:rsidRPr="00843F77" w:rsidRDefault="008625D7" w:rsidP="002C13EF">
            <w:pPr>
              <w:spacing w:line="240" w:lineRule="auto"/>
              <w:jc w:val="both"/>
              <w:rPr>
                <w:rFonts w:ascii="Times New Roman" w:hAnsi="Times New Roman"/>
                <w:spacing w:val="-2"/>
              </w:rPr>
            </w:pPr>
            <w:r>
              <w:rPr>
                <w:rFonts w:ascii="Times New Roman" w:hAnsi="Times New Roman"/>
                <w:spacing w:val="-2"/>
              </w:rPr>
              <w:t>Proponuje się, aby ustawa weszła w życie po upł</w:t>
            </w:r>
            <w:r w:rsidR="0068440C">
              <w:rPr>
                <w:rFonts w:ascii="Times New Roman" w:hAnsi="Times New Roman"/>
                <w:spacing w:val="-2"/>
              </w:rPr>
              <w:t>ywie 14 dni od dnia ogłoszenia.</w:t>
            </w:r>
          </w:p>
        </w:tc>
      </w:tr>
      <w:tr w:rsidR="008625D7" w:rsidRPr="00843F77" w:rsidTr="00676C8D">
        <w:trPr>
          <w:gridAfter w:val="1"/>
          <w:wAfter w:w="10" w:type="dxa"/>
          <w:trHeight w:val="142"/>
        </w:trPr>
        <w:tc>
          <w:tcPr>
            <w:tcW w:w="10937" w:type="dxa"/>
            <w:gridSpan w:val="26"/>
            <w:shd w:val="clear" w:color="auto" w:fill="99CCFF"/>
          </w:tcPr>
          <w:p w:rsidR="008625D7" w:rsidRPr="00843F77" w:rsidRDefault="008625D7" w:rsidP="008625D7">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t xml:space="preserve"> </w:t>
            </w:r>
            <w:r w:rsidRPr="00843F77">
              <w:rPr>
                <w:rFonts w:ascii="Times New Roman" w:hAnsi="Times New Roman"/>
                <w:b/>
                <w:spacing w:val="-2"/>
                <w:sz w:val="21"/>
                <w:szCs w:val="21"/>
              </w:rPr>
              <w:t>W jaki sposób i kiedy nastąpi ewaluacja efektów projektu oraz jakie mierniki zostaną zastosowane?</w:t>
            </w:r>
          </w:p>
        </w:tc>
      </w:tr>
      <w:tr w:rsidR="008625D7" w:rsidRPr="00843F77" w:rsidTr="00676C8D">
        <w:trPr>
          <w:gridAfter w:val="1"/>
          <w:wAfter w:w="10" w:type="dxa"/>
          <w:trHeight w:val="142"/>
        </w:trPr>
        <w:tc>
          <w:tcPr>
            <w:tcW w:w="10937" w:type="dxa"/>
            <w:gridSpan w:val="26"/>
            <w:shd w:val="clear" w:color="auto" w:fill="FFFFFF"/>
          </w:tcPr>
          <w:p w:rsidR="008625D7" w:rsidRDefault="008625D7" w:rsidP="008625D7">
            <w:pPr>
              <w:spacing w:line="240" w:lineRule="auto"/>
              <w:jc w:val="both"/>
              <w:rPr>
                <w:rFonts w:ascii="Times New Roman" w:hAnsi="Times New Roman"/>
                <w:bCs/>
                <w:color w:val="000000"/>
                <w:spacing w:val="-2"/>
              </w:rPr>
            </w:pPr>
          </w:p>
          <w:p w:rsidR="008625D7" w:rsidRDefault="008625D7" w:rsidP="008625D7">
            <w:pPr>
              <w:spacing w:line="240" w:lineRule="auto"/>
              <w:jc w:val="both"/>
              <w:rPr>
                <w:rFonts w:ascii="Times New Roman" w:hAnsi="Times New Roman"/>
                <w:bCs/>
                <w:color w:val="000000"/>
                <w:spacing w:val="-2"/>
              </w:rPr>
            </w:pPr>
            <w:r w:rsidRPr="00BF008C">
              <w:rPr>
                <w:rFonts w:ascii="Times New Roman" w:hAnsi="Times New Roman"/>
                <w:bCs/>
                <w:color w:val="000000"/>
                <w:spacing w:val="-2"/>
              </w:rPr>
              <w:t xml:space="preserve">W terminie do dnia 31 marca każdego roku </w:t>
            </w:r>
            <w:r w:rsidR="0068440C">
              <w:rPr>
                <w:rFonts w:ascii="Times New Roman" w:hAnsi="Times New Roman"/>
                <w:bCs/>
                <w:color w:val="000000"/>
                <w:spacing w:val="-2"/>
              </w:rPr>
              <w:t>Dyrektor</w:t>
            </w:r>
            <w:r w:rsidRPr="00BF008C">
              <w:rPr>
                <w:rFonts w:ascii="Times New Roman" w:hAnsi="Times New Roman"/>
                <w:bCs/>
                <w:color w:val="000000"/>
                <w:spacing w:val="-2"/>
              </w:rPr>
              <w:t xml:space="preserve"> Narodowego Centrum przedstawia Pełnomocnikowi do zatwierdzenia roczne sprawozdanie z działalności Narodowego Centrum za rok poprzedni, obejmujące w szczególności informacje o stopniu realizacji poszczególnych zadań Narodowego Centrum. Do sprawozdania dołącza się opinię Rady Narodowego Centrum</w:t>
            </w:r>
            <w:r>
              <w:rPr>
                <w:rFonts w:ascii="Times New Roman" w:hAnsi="Times New Roman"/>
                <w:bCs/>
                <w:color w:val="000000"/>
                <w:spacing w:val="-2"/>
              </w:rPr>
              <w:t xml:space="preserve"> (art. 8 ust. 6).</w:t>
            </w:r>
          </w:p>
          <w:p w:rsidR="008625D7" w:rsidRDefault="008625D7" w:rsidP="008625D7">
            <w:pPr>
              <w:spacing w:line="240" w:lineRule="auto"/>
              <w:jc w:val="both"/>
              <w:rPr>
                <w:rFonts w:ascii="Times New Roman" w:hAnsi="Times New Roman"/>
                <w:bCs/>
                <w:color w:val="000000"/>
                <w:spacing w:val="-2"/>
              </w:rPr>
            </w:pPr>
          </w:p>
          <w:p w:rsidR="008625D7" w:rsidRDefault="008625D7" w:rsidP="008625D7">
            <w:pPr>
              <w:spacing w:line="240" w:lineRule="auto"/>
              <w:jc w:val="both"/>
              <w:rPr>
                <w:rFonts w:ascii="Times New Roman" w:hAnsi="Times New Roman"/>
                <w:bCs/>
                <w:color w:val="000000"/>
                <w:spacing w:val="-2"/>
              </w:rPr>
            </w:pPr>
            <w:r w:rsidRPr="00843F77">
              <w:rPr>
                <w:rFonts w:ascii="Times New Roman" w:hAnsi="Times New Roman"/>
                <w:bCs/>
                <w:color w:val="000000"/>
                <w:spacing w:val="-2"/>
              </w:rPr>
              <w:t xml:space="preserve">W terminie do dnia 31 marca roku następującego po roku obrotowym </w:t>
            </w:r>
            <w:r w:rsidR="00001744">
              <w:rPr>
                <w:rFonts w:ascii="Times New Roman" w:hAnsi="Times New Roman"/>
                <w:bCs/>
                <w:color w:val="000000"/>
                <w:spacing w:val="-2"/>
              </w:rPr>
              <w:t>Dyrektor</w:t>
            </w:r>
            <w:r w:rsidRPr="00843F77">
              <w:rPr>
                <w:rFonts w:ascii="Times New Roman" w:hAnsi="Times New Roman"/>
                <w:bCs/>
                <w:color w:val="000000"/>
                <w:spacing w:val="-2"/>
              </w:rPr>
              <w:t xml:space="preserve"> Narodowego Centrum przedstawia Pełnomocnikowi Rządu do spraw społeczeństwa obywatelskiego do zatwierdzenia roczne sprawozdanie finansowe, obejmujące w szczególności informacje o stopniu wykorzystania środków przeznaczonych na finansowanie poszczególnych zadań Narodowego Centrum, wraz z opinią Rady Narodowego Centrum (art. </w:t>
            </w:r>
            <w:r>
              <w:rPr>
                <w:rFonts w:ascii="Times New Roman" w:hAnsi="Times New Roman"/>
                <w:bCs/>
                <w:color w:val="000000"/>
                <w:spacing w:val="-2"/>
              </w:rPr>
              <w:t>8</w:t>
            </w:r>
            <w:r w:rsidRPr="00843F77">
              <w:rPr>
                <w:rFonts w:ascii="Times New Roman" w:hAnsi="Times New Roman"/>
                <w:bCs/>
                <w:color w:val="000000"/>
                <w:spacing w:val="-2"/>
              </w:rPr>
              <w:t xml:space="preserve"> ust. </w:t>
            </w:r>
            <w:r>
              <w:rPr>
                <w:rFonts w:ascii="Times New Roman" w:hAnsi="Times New Roman"/>
                <w:bCs/>
                <w:color w:val="000000"/>
                <w:spacing w:val="-2"/>
              </w:rPr>
              <w:t>7</w:t>
            </w:r>
            <w:r w:rsidRPr="00843F77">
              <w:rPr>
                <w:rFonts w:ascii="Times New Roman" w:hAnsi="Times New Roman"/>
                <w:bCs/>
                <w:color w:val="000000"/>
                <w:spacing w:val="-2"/>
              </w:rPr>
              <w:t>).</w:t>
            </w:r>
          </w:p>
          <w:p w:rsidR="008625D7" w:rsidRPr="00843F77" w:rsidRDefault="008625D7" w:rsidP="008625D7">
            <w:pPr>
              <w:spacing w:line="240" w:lineRule="auto"/>
              <w:jc w:val="both"/>
              <w:rPr>
                <w:rFonts w:ascii="Times New Roman" w:hAnsi="Times New Roman"/>
                <w:bCs/>
                <w:color w:val="000000"/>
                <w:spacing w:val="-2"/>
              </w:rPr>
            </w:pPr>
          </w:p>
          <w:p w:rsidR="008625D7" w:rsidRDefault="008625D7" w:rsidP="008625D7">
            <w:pPr>
              <w:spacing w:line="240" w:lineRule="auto"/>
              <w:jc w:val="both"/>
              <w:rPr>
                <w:rFonts w:ascii="Times New Roman" w:hAnsi="Times New Roman"/>
                <w:bCs/>
                <w:color w:val="000000"/>
                <w:spacing w:val="-2"/>
              </w:rPr>
            </w:pPr>
            <w:r w:rsidRPr="00843F77">
              <w:rPr>
                <w:rFonts w:ascii="Times New Roman" w:hAnsi="Times New Roman"/>
                <w:bCs/>
                <w:color w:val="000000"/>
                <w:spacing w:val="-2"/>
              </w:rPr>
              <w:t xml:space="preserve">Narodowe Centrum będzie prowadzić systematyczną ewaluację realizowanych programów rozwoju społeczeństwa obywatelskiego oraz innych zadań Narodowego Centrum, a także ocenę ich wpływu na rozwój demokracji, aktywności obywatelskiej, wzrostu kapitału społecznego oraz rozwoju potencjału społecznego i ekonomicznego sektora obywatelskiego </w:t>
            </w:r>
            <w:r w:rsidRPr="00843F77">
              <w:rPr>
                <w:rFonts w:ascii="Times New Roman" w:hAnsi="Times New Roman"/>
                <w:bCs/>
                <w:color w:val="000000"/>
                <w:spacing w:val="-2"/>
              </w:rPr>
              <w:br/>
              <w:t xml:space="preserve">w Rzeczypospolitej Polskiej. </w:t>
            </w:r>
            <w:r w:rsidR="0068440C">
              <w:rPr>
                <w:rFonts w:ascii="Times New Roman" w:hAnsi="Times New Roman"/>
                <w:bCs/>
                <w:color w:val="000000"/>
                <w:spacing w:val="-2"/>
              </w:rPr>
              <w:t>Dyrektor</w:t>
            </w:r>
            <w:r w:rsidRPr="00843F77">
              <w:rPr>
                <w:rFonts w:ascii="Times New Roman" w:hAnsi="Times New Roman"/>
                <w:bCs/>
                <w:color w:val="000000"/>
                <w:spacing w:val="-2"/>
              </w:rPr>
              <w:t xml:space="preserve"> Narodowego Centrum przedstawiał będzie Pełnomocnikowi Rządu do spraw społeczeństwa obywatelskiego informację o wynikach przeprowadzonej ewaluacji (art. 2</w:t>
            </w:r>
            <w:r>
              <w:rPr>
                <w:rFonts w:ascii="Times New Roman" w:hAnsi="Times New Roman"/>
                <w:bCs/>
                <w:color w:val="000000"/>
                <w:spacing w:val="-2"/>
              </w:rPr>
              <w:t>5</w:t>
            </w:r>
            <w:r w:rsidRPr="00843F77">
              <w:rPr>
                <w:rFonts w:ascii="Times New Roman" w:hAnsi="Times New Roman"/>
                <w:bCs/>
                <w:color w:val="000000"/>
                <w:spacing w:val="-2"/>
              </w:rPr>
              <w:t>).</w:t>
            </w:r>
          </w:p>
          <w:p w:rsidR="008625D7" w:rsidRPr="00843F77" w:rsidRDefault="008625D7" w:rsidP="008625D7">
            <w:pPr>
              <w:spacing w:line="240" w:lineRule="auto"/>
              <w:jc w:val="both"/>
              <w:rPr>
                <w:rFonts w:ascii="Times New Roman" w:hAnsi="Times New Roman"/>
                <w:bCs/>
                <w:color w:val="000000"/>
                <w:spacing w:val="-2"/>
              </w:rPr>
            </w:pPr>
          </w:p>
          <w:p w:rsidR="008625D7" w:rsidRDefault="008625D7" w:rsidP="008625D7">
            <w:pPr>
              <w:spacing w:line="240" w:lineRule="auto"/>
              <w:jc w:val="both"/>
              <w:rPr>
                <w:rFonts w:ascii="Times New Roman" w:hAnsi="Times New Roman"/>
                <w:bCs/>
                <w:color w:val="000000"/>
                <w:spacing w:val="-2"/>
              </w:rPr>
            </w:pPr>
            <w:r w:rsidRPr="00843F77">
              <w:rPr>
                <w:rFonts w:ascii="Times New Roman" w:hAnsi="Times New Roman"/>
                <w:bCs/>
                <w:color w:val="000000"/>
                <w:spacing w:val="-2"/>
              </w:rPr>
              <w:t xml:space="preserve">Informacje przedstawione w ww. dokumentach oraz ich analiza będą stanowić podstawę do ewaluacji projektu ustawy </w:t>
            </w:r>
            <w:r w:rsidRPr="00843F77">
              <w:rPr>
                <w:rFonts w:ascii="Times New Roman" w:hAnsi="Times New Roman"/>
                <w:bCs/>
                <w:color w:val="000000"/>
                <w:spacing w:val="-2"/>
              </w:rPr>
              <w:br/>
              <w:t xml:space="preserve">oraz przedstawienia ewentualnych rekomendacji w zakresie jej efektów. </w:t>
            </w:r>
          </w:p>
          <w:p w:rsidR="008625D7" w:rsidRPr="00843F77" w:rsidRDefault="008625D7" w:rsidP="008625D7">
            <w:pPr>
              <w:spacing w:line="240" w:lineRule="auto"/>
              <w:jc w:val="both"/>
              <w:rPr>
                <w:rFonts w:ascii="Times New Roman" w:hAnsi="Times New Roman"/>
                <w:bCs/>
                <w:color w:val="000000"/>
                <w:spacing w:val="-2"/>
              </w:rPr>
            </w:pPr>
          </w:p>
          <w:p w:rsidR="008625D7" w:rsidRDefault="008625D7" w:rsidP="008625D7">
            <w:pPr>
              <w:spacing w:line="240" w:lineRule="auto"/>
              <w:jc w:val="both"/>
              <w:rPr>
                <w:rFonts w:ascii="Times New Roman" w:hAnsi="Times New Roman"/>
                <w:bCs/>
                <w:color w:val="000000"/>
                <w:spacing w:val="-2"/>
              </w:rPr>
            </w:pPr>
            <w:r w:rsidRPr="007820BF">
              <w:rPr>
                <w:rFonts w:ascii="Times New Roman" w:hAnsi="Times New Roman"/>
                <w:bCs/>
                <w:color w:val="000000"/>
                <w:spacing w:val="-2"/>
              </w:rPr>
              <w:t>Dodatkowo, po wejściu w życie ustawy, na bieżąco będzie odbywała się ocena z realizacji jej przepisów poprzez monitorowanie i analizowanie liczby złożonych wniosków  o przyznanie środków finansowych na realizację projektów, zawartych umów na wykonanie projektów, czy też ogłoszonych konkursów. Ważnym miernikiem będzie również ocena przyjazności i przejrzystości konkursów uzyskiwana poprzez zmniejszanie liczby procedur. Mierzony będzie także zakres zwiększenia dostępu do funduszy dystrybuowanych przez Narodowe Centrum w ramach realizowanych programów (ilu będzie całkowicie nowych wnioskodawców, ile organizacji otrzyma pierwsze w swojej historii dotacje, jakie obszary Polski będą reprezentowane itd.).</w:t>
            </w:r>
          </w:p>
          <w:p w:rsidR="008625D7" w:rsidRPr="00843F77" w:rsidRDefault="008625D7" w:rsidP="008625D7">
            <w:pPr>
              <w:spacing w:line="240" w:lineRule="auto"/>
              <w:jc w:val="both"/>
              <w:rPr>
                <w:rFonts w:ascii="Times New Roman" w:hAnsi="Times New Roman"/>
                <w:color w:val="000000"/>
                <w:spacing w:val="-2"/>
              </w:rPr>
            </w:pPr>
          </w:p>
        </w:tc>
      </w:tr>
      <w:tr w:rsidR="008625D7" w:rsidRPr="00843F77" w:rsidTr="00676C8D">
        <w:trPr>
          <w:gridAfter w:val="1"/>
          <w:wAfter w:w="10" w:type="dxa"/>
          <w:trHeight w:val="142"/>
        </w:trPr>
        <w:tc>
          <w:tcPr>
            <w:tcW w:w="10937" w:type="dxa"/>
            <w:gridSpan w:val="26"/>
            <w:shd w:val="clear" w:color="auto" w:fill="99CCFF"/>
          </w:tcPr>
          <w:p w:rsidR="008625D7" w:rsidRPr="00843F77" w:rsidRDefault="008625D7" w:rsidP="008625D7">
            <w:pPr>
              <w:numPr>
                <w:ilvl w:val="0"/>
                <w:numId w:val="6"/>
              </w:numPr>
              <w:spacing w:before="60" w:after="60" w:line="240" w:lineRule="auto"/>
              <w:ind w:left="318" w:hanging="284"/>
              <w:jc w:val="both"/>
              <w:rPr>
                <w:rFonts w:ascii="Times New Roman" w:hAnsi="Times New Roman"/>
                <w:b/>
                <w:color w:val="000000"/>
                <w:spacing w:val="-2"/>
              </w:rPr>
            </w:pPr>
            <w:r w:rsidRPr="00843F77">
              <w:rPr>
                <w:rFonts w:ascii="Times New Roman" w:hAnsi="Times New Roman"/>
                <w:b/>
                <w:color w:val="000000"/>
                <w:spacing w:val="-2"/>
              </w:rPr>
              <w:t xml:space="preserve">Załączniki </w:t>
            </w:r>
            <w:r w:rsidRPr="00843F77">
              <w:rPr>
                <w:rFonts w:ascii="Times New Roman" w:hAnsi="Times New Roman"/>
                <w:b/>
                <w:spacing w:val="-2"/>
                <w:sz w:val="21"/>
                <w:szCs w:val="21"/>
              </w:rPr>
              <w:t>(istotne dokumenty źródłowe, badania, analizy itp.</w:t>
            </w:r>
            <w:r w:rsidRPr="00843F77">
              <w:rPr>
                <w:rFonts w:ascii="Times New Roman" w:hAnsi="Times New Roman"/>
                <w:b/>
                <w:color w:val="000000"/>
                <w:spacing w:val="-2"/>
              </w:rPr>
              <w:t xml:space="preserve">) </w:t>
            </w:r>
          </w:p>
        </w:tc>
      </w:tr>
      <w:tr w:rsidR="008625D7" w:rsidRPr="00843F77" w:rsidTr="002D3127">
        <w:trPr>
          <w:gridAfter w:val="1"/>
          <w:wAfter w:w="10" w:type="dxa"/>
          <w:trHeight w:val="1650"/>
        </w:trPr>
        <w:tc>
          <w:tcPr>
            <w:tcW w:w="10937" w:type="dxa"/>
            <w:gridSpan w:val="26"/>
            <w:shd w:val="clear" w:color="auto" w:fill="FFFFFF"/>
          </w:tcPr>
          <w:p w:rsidR="008625D7" w:rsidRPr="00843F77" w:rsidRDefault="008625D7" w:rsidP="008625D7">
            <w:pPr>
              <w:spacing w:line="240" w:lineRule="auto"/>
              <w:jc w:val="both"/>
              <w:rPr>
                <w:rFonts w:ascii="Times New Roman" w:hAnsi="Times New Roman"/>
                <w:i/>
                <w:color w:val="FF0000"/>
                <w:spacing w:val="-2"/>
                <w:sz w:val="18"/>
                <w:szCs w:val="18"/>
              </w:rPr>
            </w:pPr>
          </w:p>
          <w:p w:rsidR="008625D7" w:rsidRPr="005513E2" w:rsidRDefault="008625D7" w:rsidP="008625D7">
            <w:pPr>
              <w:numPr>
                <w:ilvl w:val="0"/>
                <w:numId w:val="27"/>
              </w:numPr>
              <w:spacing w:line="240" w:lineRule="auto"/>
              <w:jc w:val="both"/>
              <w:rPr>
                <w:rFonts w:ascii="Times New Roman" w:hAnsi="Times New Roman"/>
                <w:spacing w:val="-2"/>
              </w:rPr>
            </w:pPr>
            <w:r w:rsidRPr="005513E2">
              <w:rPr>
                <w:rFonts w:ascii="Times New Roman" w:hAnsi="Times New Roman"/>
                <w:spacing w:val="-2"/>
              </w:rPr>
              <w:t xml:space="preserve">Raport z badań Stowarzyszenia Klon/Jawor „Kondycja sektora organizacji pozarządowych w Polsce 2015”: </w:t>
            </w:r>
            <w:hyperlink r:id="rId8" w:history="1">
              <w:r w:rsidRPr="005513E2">
                <w:rPr>
                  <w:rStyle w:val="Hipercze"/>
                  <w:rFonts w:ascii="Times New Roman" w:hAnsi="Times New Roman"/>
                  <w:color w:val="auto"/>
                  <w:spacing w:val="-2"/>
                </w:rPr>
                <w:t>http://fakty.ngo.pl/files/wiadomosci.ngo.pl/public/civicpedia/Raport_Klon_Kondycja_2015.pdf</w:t>
              </w:r>
            </w:hyperlink>
          </w:p>
          <w:p w:rsidR="008625D7" w:rsidRPr="005513E2" w:rsidRDefault="008625D7" w:rsidP="008625D7">
            <w:pPr>
              <w:numPr>
                <w:ilvl w:val="0"/>
                <w:numId w:val="27"/>
              </w:numPr>
              <w:spacing w:line="240" w:lineRule="auto"/>
              <w:jc w:val="both"/>
              <w:rPr>
                <w:rFonts w:ascii="Times New Roman" w:hAnsi="Times New Roman"/>
                <w:spacing w:val="-2"/>
                <w:lang w:val="en-US"/>
              </w:rPr>
            </w:pPr>
            <w:r w:rsidRPr="005513E2">
              <w:rPr>
                <w:rFonts w:ascii="Times New Roman" w:hAnsi="Times New Roman"/>
                <w:spacing w:val="-2"/>
                <w:lang w:val="en-US"/>
              </w:rPr>
              <w:t xml:space="preserve">Raport GUS: Sektor non-profit w 2014 r. </w:t>
            </w:r>
          </w:p>
          <w:p w:rsidR="008625D7" w:rsidRPr="005513E2" w:rsidRDefault="008625D7" w:rsidP="008625D7">
            <w:pPr>
              <w:spacing w:line="240" w:lineRule="auto"/>
              <w:ind w:left="708"/>
              <w:jc w:val="both"/>
              <w:rPr>
                <w:rFonts w:ascii="Times New Roman" w:hAnsi="Times New Roman"/>
                <w:spacing w:val="-2"/>
                <w:lang w:val="en-US"/>
              </w:rPr>
            </w:pPr>
            <w:hyperlink r:id="rId9" w:history="1">
              <w:r w:rsidRPr="005513E2">
                <w:rPr>
                  <w:rStyle w:val="Hipercze"/>
                  <w:rFonts w:ascii="Times New Roman" w:hAnsi="Times New Roman"/>
                  <w:color w:val="auto"/>
                  <w:spacing w:val="-2"/>
                  <w:lang w:val="en-US"/>
                </w:rPr>
                <w:t>http://stat.gov.pl/obszary-tematyczne/gospodarka-spoleczna-wolontariat/gospodarka-spoleczna-trzeci-sektor/sektor-non-profit-w-2014-r-,1,5.html</w:t>
              </w:r>
            </w:hyperlink>
          </w:p>
          <w:p w:rsidR="008625D7" w:rsidRPr="005513E2" w:rsidRDefault="008625D7" w:rsidP="008625D7">
            <w:pPr>
              <w:numPr>
                <w:ilvl w:val="0"/>
                <w:numId w:val="27"/>
              </w:numPr>
              <w:spacing w:line="240" w:lineRule="auto"/>
              <w:jc w:val="both"/>
              <w:rPr>
                <w:rFonts w:ascii="Times New Roman" w:hAnsi="Times New Roman"/>
                <w:spacing w:val="-2"/>
              </w:rPr>
            </w:pPr>
            <w:r w:rsidRPr="005513E2">
              <w:rPr>
                <w:rFonts w:ascii="Times New Roman" w:hAnsi="Times New Roman"/>
                <w:spacing w:val="-2"/>
              </w:rPr>
              <w:t>Raport GUS: Organizacje pożytku publicznego i 1%.</w:t>
            </w:r>
          </w:p>
          <w:p w:rsidR="008625D7" w:rsidRPr="005513E2" w:rsidRDefault="008625D7" w:rsidP="008625D7">
            <w:pPr>
              <w:spacing w:line="240" w:lineRule="auto"/>
              <w:ind w:left="708"/>
              <w:jc w:val="both"/>
              <w:rPr>
                <w:rFonts w:ascii="Times New Roman" w:hAnsi="Times New Roman"/>
                <w:spacing w:val="-2"/>
              </w:rPr>
            </w:pPr>
            <w:hyperlink r:id="rId10" w:history="1">
              <w:r w:rsidRPr="005513E2">
                <w:rPr>
                  <w:rStyle w:val="Hipercze"/>
                  <w:rFonts w:ascii="Times New Roman" w:hAnsi="Times New Roman"/>
                  <w:color w:val="auto"/>
                  <w:spacing w:val="-2"/>
                </w:rPr>
                <w:t>http://stat.gov.pl/obszary-tematyczne/gospodarka-spoleczna-wolontariat/gospodarka-spoleczna-trzeci-sektor/organizacje-pozytku-publicznego-i-1,4,3.html</w:t>
              </w:r>
            </w:hyperlink>
          </w:p>
          <w:p w:rsidR="008625D7" w:rsidRPr="005513E2" w:rsidRDefault="008625D7" w:rsidP="008625D7">
            <w:pPr>
              <w:numPr>
                <w:ilvl w:val="0"/>
                <w:numId w:val="27"/>
              </w:numPr>
              <w:spacing w:line="240" w:lineRule="auto"/>
              <w:jc w:val="both"/>
              <w:rPr>
                <w:rFonts w:ascii="Times New Roman" w:hAnsi="Times New Roman"/>
                <w:spacing w:val="-2"/>
              </w:rPr>
            </w:pPr>
            <w:r w:rsidRPr="005513E2">
              <w:rPr>
                <w:rFonts w:ascii="Times New Roman" w:hAnsi="Times New Roman"/>
                <w:spacing w:val="-2"/>
              </w:rPr>
              <w:t>Raport GUS: Wolontariat w organizacjach – 2016 r.</w:t>
            </w:r>
          </w:p>
          <w:p w:rsidR="008625D7" w:rsidRPr="005513E2" w:rsidRDefault="008625D7" w:rsidP="008625D7">
            <w:pPr>
              <w:spacing w:line="240" w:lineRule="auto"/>
              <w:ind w:left="708"/>
              <w:jc w:val="both"/>
              <w:rPr>
                <w:rFonts w:ascii="Times New Roman" w:hAnsi="Times New Roman"/>
                <w:spacing w:val="-2"/>
              </w:rPr>
            </w:pPr>
            <w:hyperlink r:id="rId11" w:history="1">
              <w:r w:rsidRPr="005513E2">
                <w:rPr>
                  <w:rStyle w:val="Hipercze"/>
                  <w:rFonts w:ascii="Times New Roman" w:hAnsi="Times New Roman"/>
                  <w:color w:val="auto"/>
                  <w:spacing w:val="-2"/>
                </w:rPr>
                <w:t>http://stat.gov.pl/obszary-tematyczne/gospodarka-spoleczna-wolontariat/wolontariat-i-praca-niezarobkowa-na-rzecz-innych/wolontariat-w-organizacjach-2016-r-wstepne-wyniki-badania-praca-niezarobkowa-poza-gospodarstwem-domowym,2,2.html</w:t>
              </w:r>
            </w:hyperlink>
          </w:p>
          <w:p w:rsidR="008625D7" w:rsidRPr="005513E2" w:rsidRDefault="008625D7" w:rsidP="008625D7">
            <w:pPr>
              <w:numPr>
                <w:ilvl w:val="0"/>
                <w:numId w:val="27"/>
              </w:numPr>
              <w:spacing w:line="240" w:lineRule="auto"/>
              <w:jc w:val="both"/>
              <w:rPr>
                <w:rFonts w:ascii="Times New Roman" w:hAnsi="Times New Roman"/>
                <w:spacing w:val="-2"/>
              </w:rPr>
            </w:pPr>
            <w:r w:rsidRPr="005513E2">
              <w:rPr>
                <w:rFonts w:ascii="Times New Roman" w:hAnsi="Times New Roman"/>
                <w:spacing w:val="-2"/>
              </w:rPr>
              <w:t>Raport GUS:</w:t>
            </w:r>
          </w:p>
          <w:p w:rsidR="008625D7" w:rsidRPr="005513E2" w:rsidRDefault="008625D7" w:rsidP="008625D7">
            <w:pPr>
              <w:numPr>
                <w:ilvl w:val="0"/>
                <w:numId w:val="27"/>
              </w:numPr>
              <w:spacing w:line="240" w:lineRule="auto"/>
              <w:jc w:val="both"/>
              <w:rPr>
                <w:rFonts w:ascii="Times New Roman" w:hAnsi="Times New Roman"/>
                <w:spacing w:val="-2"/>
              </w:rPr>
            </w:pPr>
            <w:hyperlink r:id="rId12" w:history="1">
              <w:r w:rsidRPr="005513E2">
                <w:rPr>
                  <w:rStyle w:val="Hipercze"/>
                  <w:rFonts w:ascii="Times New Roman" w:hAnsi="Times New Roman"/>
                  <w:color w:val="auto"/>
                  <w:spacing w:val="-2"/>
                </w:rPr>
                <w:t>http://stat.gov.pl/obszary-tematyczne/gospodarka-spoleczna-wolontariat/gospodarka-spoleczna-trzeci-sektor/dzialalnosc-stowarzyszen-i-podobnych-organizacji-spolecznych-fundacji-spolecznych-podmiotow-wyznaniowych-oraz-samorzadu-gospodarczego-i-zawodowego-w-2014-r-wyniki-wstepne,3,6.html</w:t>
              </w:r>
            </w:hyperlink>
          </w:p>
          <w:p w:rsidR="008625D7" w:rsidRPr="005513E2" w:rsidRDefault="008625D7" w:rsidP="008625D7">
            <w:pPr>
              <w:spacing w:line="240" w:lineRule="auto"/>
              <w:ind w:left="360"/>
              <w:jc w:val="both"/>
              <w:rPr>
                <w:rFonts w:ascii="Times New Roman" w:hAnsi="Times New Roman"/>
                <w:spacing w:val="-2"/>
                <w:u w:val="single"/>
              </w:rPr>
            </w:pPr>
            <w:r w:rsidRPr="005513E2">
              <w:rPr>
                <w:rFonts w:ascii="Times New Roman" w:hAnsi="Times New Roman"/>
                <w:spacing w:val="-2"/>
                <w:u w:val="single"/>
              </w:rPr>
              <w:t>Inne prace i analizy:</w:t>
            </w:r>
          </w:p>
          <w:p w:rsidR="008625D7" w:rsidRPr="0056265C" w:rsidRDefault="008625D7" w:rsidP="008625D7">
            <w:pPr>
              <w:numPr>
                <w:ilvl w:val="0"/>
                <w:numId w:val="27"/>
              </w:numPr>
              <w:spacing w:line="240" w:lineRule="auto"/>
              <w:jc w:val="both"/>
              <w:rPr>
                <w:rFonts w:ascii="Times New Roman" w:hAnsi="Times New Roman"/>
                <w:spacing w:val="-2"/>
                <w:sz w:val="32"/>
              </w:rPr>
            </w:pPr>
            <w:r w:rsidRPr="005513E2">
              <w:rPr>
                <w:rFonts w:ascii="Times New Roman" w:hAnsi="Times New Roman"/>
                <w:szCs w:val="20"/>
              </w:rPr>
              <w:t xml:space="preserve">Gliński, Piotr i </w:t>
            </w:r>
            <w:r w:rsidR="009A46C1">
              <w:rPr>
                <w:rFonts w:ascii="Times New Roman" w:hAnsi="Times New Roman"/>
                <w:szCs w:val="20"/>
              </w:rPr>
              <w:t>Hanna Palska</w:t>
            </w:r>
            <w:r w:rsidRPr="005513E2">
              <w:rPr>
                <w:rFonts w:ascii="Times New Roman" w:hAnsi="Times New Roman"/>
                <w:szCs w:val="20"/>
              </w:rPr>
              <w:t xml:space="preserve"> (1997). </w:t>
            </w:r>
            <w:r w:rsidRPr="005513E2">
              <w:rPr>
                <w:rFonts w:ascii="Times New Roman" w:hAnsi="Times New Roman"/>
                <w:i/>
                <w:szCs w:val="20"/>
              </w:rPr>
              <w:t>Cztery wymiary aktywności</w:t>
            </w:r>
            <w:r w:rsidRPr="0056265C">
              <w:rPr>
                <w:rFonts w:ascii="Times New Roman" w:hAnsi="Times New Roman"/>
                <w:i/>
                <w:szCs w:val="20"/>
              </w:rPr>
              <w:t xml:space="preserve"> obywatelskiej.</w:t>
            </w:r>
            <w:r w:rsidRPr="0056265C">
              <w:rPr>
                <w:rFonts w:ascii="Times New Roman" w:hAnsi="Times New Roman"/>
                <w:szCs w:val="20"/>
              </w:rPr>
              <w:t xml:space="preserve"> W: Henryk Domański i Andrzej Rychard (red.). Elementy nowego ładu. Warszawa: Wyd. IFiS PAN.</w:t>
            </w:r>
          </w:p>
          <w:p w:rsidR="008625D7" w:rsidRPr="0056265C" w:rsidRDefault="008625D7" w:rsidP="008625D7">
            <w:pPr>
              <w:numPr>
                <w:ilvl w:val="0"/>
                <w:numId w:val="27"/>
              </w:numPr>
              <w:spacing w:line="240" w:lineRule="auto"/>
              <w:jc w:val="both"/>
              <w:rPr>
                <w:rFonts w:ascii="Times New Roman" w:hAnsi="Times New Roman"/>
                <w:spacing w:val="-2"/>
                <w:sz w:val="36"/>
              </w:rPr>
            </w:pPr>
            <w:r w:rsidRPr="0056265C">
              <w:rPr>
                <w:rFonts w:ascii="Times New Roman" w:hAnsi="Times New Roman"/>
                <w:szCs w:val="20"/>
              </w:rPr>
              <w:t xml:space="preserve">Gliński, Piotr (1999). </w:t>
            </w:r>
            <w:r w:rsidRPr="0056265C">
              <w:rPr>
                <w:rFonts w:ascii="Times New Roman" w:hAnsi="Times New Roman"/>
                <w:i/>
                <w:szCs w:val="20"/>
              </w:rPr>
              <w:t>O społeczeństwie obywatelskim w Polsce: teoria i praktyka.</w:t>
            </w:r>
            <w:r w:rsidRPr="0056265C">
              <w:rPr>
                <w:rFonts w:ascii="Times New Roman" w:hAnsi="Times New Roman"/>
                <w:szCs w:val="20"/>
              </w:rPr>
              <w:t xml:space="preserve"> W: Dariusz Gawin (red.). Homo eligens. Społeczeństwo świadomego wyboru. Warszawa: Wyd. IFiS PAN.</w:t>
            </w:r>
          </w:p>
          <w:p w:rsidR="008625D7" w:rsidRPr="0056265C" w:rsidRDefault="008625D7" w:rsidP="008625D7">
            <w:pPr>
              <w:numPr>
                <w:ilvl w:val="0"/>
                <w:numId w:val="27"/>
              </w:numPr>
              <w:spacing w:line="240" w:lineRule="auto"/>
              <w:jc w:val="both"/>
              <w:rPr>
                <w:rFonts w:ascii="Times New Roman" w:hAnsi="Times New Roman"/>
                <w:spacing w:val="-2"/>
                <w:sz w:val="40"/>
              </w:rPr>
            </w:pPr>
            <w:r w:rsidRPr="0056265C">
              <w:rPr>
                <w:rFonts w:ascii="Times New Roman" w:hAnsi="Times New Roman"/>
                <w:szCs w:val="20"/>
              </w:rPr>
              <w:t xml:space="preserve">Leś, Ewa (2000). </w:t>
            </w:r>
            <w:r w:rsidRPr="0056265C">
              <w:rPr>
                <w:rFonts w:ascii="Times New Roman" w:hAnsi="Times New Roman"/>
                <w:i/>
                <w:iCs/>
                <w:szCs w:val="20"/>
              </w:rPr>
              <w:t>Od filantropii do pomocniczości. Studium porównawcze rozwoju i działalności organizacji społecznych.</w:t>
            </w:r>
            <w:r w:rsidRPr="0056265C">
              <w:rPr>
                <w:rFonts w:ascii="Times New Roman" w:hAnsi="Times New Roman"/>
                <w:szCs w:val="20"/>
              </w:rPr>
              <w:t xml:space="preserve"> Warszawa: Dom Wydawniczy Elipsa.</w:t>
            </w:r>
          </w:p>
          <w:p w:rsidR="008625D7" w:rsidRPr="00FC597A" w:rsidRDefault="008625D7" w:rsidP="008625D7">
            <w:pPr>
              <w:numPr>
                <w:ilvl w:val="0"/>
                <w:numId w:val="27"/>
              </w:numPr>
              <w:spacing w:line="240" w:lineRule="auto"/>
              <w:jc w:val="both"/>
              <w:rPr>
                <w:rFonts w:ascii="Times New Roman" w:hAnsi="Times New Roman"/>
                <w:spacing w:val="-2"/>
                <w:sz w:val="28"/>
              </w:rPr>
            </w:pPr>
            <w:r w:rsidRPr="0056265C">
              <w:rPr>
                <w:rFonts w:ascii="Times New Roman" w:hAnsi="Times New Roman"/>
                <w:szCs w:val="20"/>
              </w:rPr>
              <w:t xml:space="preserve">Frączak, Piotr (2002). </w:t>
            </w:r>
            <w:r w:rsidRPr="0056265C">
              <w:rPr>
                <w:rFonts w:ascii="Times New Roman" w:hAnsi="Times New Roman"/>
                <w:i/>
                <w:szCs w:val="20"/>
              </w:rPr>
              <w:t>Trzeci sektor w III Rzeczpospolitej.</w:t>
            </w:r>
            <w:r w:rsidRPr="0056265C">
              <w:rPr>
                <w:rFonts w:ascii="Times New Roman" w:hAnsi="Times New Roman"/>
                <w:szCs w:val="20"/>
              </w:rPr>
              <w:t xml:space="preserve"> Warszawa: Fundacja Fundusz Współpracy.</w:t>
            </w:r>
          </w:p>
          <w:p w:rsidR="008625D7" w:rsidRPr="0056265C" w:rsidRDefault="008625D7" w:rsidP="008625D7">
            <w:pPr>
              <w:numPr>
                <w:ilvl w:val="0"/>
                <w:numId w:val="27"/>
              </w:numPr>
              <w:spacing w:line="240" w:lineRule="auto"/>
              <w:jc w:val="both"/>
              <w:rPr>
                <w:rFonts w:ascii="Times New Roman" w:hAnsi="Times New Roman"/>
                <w:spacing w:val="-2"/>
                <w:sz w:val="24"/>
              </w:rPr>
            </w:pPr>
            <w:r>
              <w:rPr>
                <w:rFonts w:ascii="Times New Roman" w:hAnsi="Times New Roman"/>
                <w:noProof/>
                <w:szCs w:val="20"/>
              </w:rPr>
              <w:t xml:space="preserve">Praca pod red. Marka Rymszy (2004). </w:t>
            </w:r>
            <w:r w:rsidRPr="0056265C">
              <w:rPr>
                <w:rFonts w:ascii="Times New Roman" w:hAnsi="Times New Roman"/>
                <w:noProof/>
                <w:szCs w:val="20"/>
              </w:rPr>
              <w:t>Współpraca sektora obywatelskiego z administracją publiczną. Warszawa: Instytut Spraw Publicznych.</w:t>
            </w:r>
          </w:p>
          <w:p w:rsidR="008625D7" w:rsidRPr="00FC597A" w:rsidRDefault="008625D7" w:rsidP="008625D7">
            <w:pPr>
              <w:numPr>
                <w:ilvl w:val="0"/>
                <w:numId w:val="27"/>
              </w:numPr>
              <w:spacing w:line="240" w:lineRule="auto"/>
              <w:jc w:val="both"/>
              <w:rPr>
                <w:rFonts w:ascii="Times New Roman" w:hAnsi="Times New Roman"/>
                <w:spacing w:val="-2"/>
                <w:sz w:val="28"/>
              </w:rPr>
            </w:pPr>
            <w:r w:rsidRPr="0056265C">
              <w:rPr>
                <w:rFonts w:ascii="Times New Roman" w:hAnsi="Times New Roman"/>
                <w:szCs w:val="20"/>
              </w:rPr>
              <w:t xml:space="preserve">Gliński, Piotr (2006). </w:t>
            </w:r>
            <w:r w:rsidRPr="0056265C">
              <w:rPr>
                <w:rFonts w:ascii="Times New Roman" w:hAnsi="Times New Roman"/>
                <w:i/>
                <w:szCs w:val="20"/>
              </w:rPr>
              <w:t>Style działań organizacji pozarządowych w Polsce. Grupy interesu czy pożytku publicznego?</w:t>
            </w:r>
            <w:r w:rsidRPr="0056265C">
              <w:rPr>
                <w:rFonts w:ascii="Times New Roman" w:hAnsi="Times New Roman"/>
                <w:szCs w:val="20"/>
              </w:rPr>
              <w:t xml:space="preserve"> Warszawa: IFiS PAN.</w:t>
            </w:r>
          </w:p>
          <w:p w:rsidR="008625D7" w:rsidRPr="00FC597A" w:rsidRDefault="008625D7" w:rsidP="008625D7">
            <w:pPr>
              <w:numPr>
                <w:ilvl w:val="0"/>
                <w:numId w:val="27"/>
              </w:numPr>
              <w:spacing w:line="240" w:lineRule="auto"/>
              <w:jc w:val="both"/>
              <w:rPr>
                <w:rFonts w:ascii="Times New Roman" w:hAnsi="Times New Roman"/>
                <w:spacing w:val="-2"/>
                <w:sz w:val="32"/>
              </w:rPr>
            </w:pPr>
            <w:r w:rsidRPr="00FC597A">
              <w:rPr>
                <w:rFonts w:ascii="Times New Roman" w:hAnsi="Times New Roman"/>
                <w:szCs w:val="20"/>
              </w:rPr>
              <w:t xml:space="preserve">Słodkowska, Inka (2006). </w:t>
            </w:r>
            <w:r w:rsidRPr="00FC597A">
              <w:rPr>
                <w:rFonts w:ascii="Times New Roman" w:hAnsi="Times New Roman"/>
                <w:i/>
                <w:szCs w:val="20"/>
              </w:rPr>
              <w:t xml:space="preserve">Społeczeństwo obywatelskie na tle historycznego przełomu Polska 1980-89. </w:t>
            </w:r>
            <w:r w:rsidRPr="00FC597A">
              <w:rPr>
                <w:rFonts w:ascii="Times New Roman" w:hAnsi="Times New Roman"/>
                <w:szCs w:val="20"/>
              </w:rPr>
              <w:t>Warszawa: Wydawnictwo IFiS PAN.</w:t>
            </w:r>
          </w:p>
          <w:p w:rsidR="008625D7" w:rsidRPr="003C19FE" w:rsidRDefault="008625D7" w:rsidP="008625D7">
            <w:pPr>
              <w:numPr>
                <w:ilvl w:val="0"/>
                <w:numId w:val="27"/>
              </w:numPr>
              <w:spacing w:line="240" w:lineRule="auto"/>
              <w:jc w:val="both"/>
              <w:rPr>
                <w:rFonts w:ascii="Times New Roman" w:hAnsi="Times New Roman"/>
                <w:spacing w:val="-2"/>
                <w:sz w:val="36"/>
              </w:rPr>
            </w:pPr>
            <w:r w:rsidRPr="00FC597A">
              <w:rPr>
                <w:rFonts w:ascii="Times New Roman" w:hAnsi="Times New Roman"/>
                <w:szCs w:val="20"/>
              </w:rPr>
              <w:t xml:space="preserve">Wygnański, Jakub (2008). </w:t>
            </w:r>
            <w:r w:rsidRPr="00FC597A">
              <w:rPr>
                <w:rFonts w:ascii="Times New Roman" w:hAnsi="Times New Roman"/>
                <w:i/>
                <w:szCs w:val="20"/>
              </w:rPr>
              <w:t>Ekonomizacja organizacji pozarządowych. Możliwość czy konieczność?</w:t>
            </w:r>
            <w:r w:rsidRPr="00FC597A">
              <w:rPr>
                <w:rFonts w:ascii="Times New Roman" w:hAnsi="Times New Roman"/>
                <w:szCs w:val="20"/>
              </w:rPr>
              <w:t xml:space="preserve"> Warszawa: Stowarzyszenie KLON/JAWOR.</w:t>
            </w:r>
          </w:p>
          <w:p w:rsidR="008625D7" w:rsidRPr="003C19FE" w:rsidRDefault="008625D7" w:rsidP="008625D7">
            <w:pPr>
              <w:numPr>
                <w:ilvl w:val="0"/>
                <w:numId w:val="27"/>
              </w:numPr>
              <w:spacing w:line="240" w:lineRule="auto"/>
              <w:jc w:val="both"/>
              <w:rPr>
                <w:rFonts w:ascii="Times New Roman" w:hAnsi="Times New Roman"/>
                <w:spacing w:val="-2"/>
                <w:sz w:val="36"/>
              </w:rPr>
            </w:pPr>
            <w:r w:rsidRPr="003C19FE">
              <w:rPr>
                <w:rFonts w:ascii="Times New Roman" w:hAnsi="Times New Roman"/>
              </w:rPr>
              <w:t xml:space="preserve">Misztal, Wojciech (2008). Lokalny dialog obywatelski. Warszawa: CPS Dialog. </w:t>
            </w:r>
          </w:p>
          <w:p w:rsidR="008625D7" w:rsidRPr="003C19FE" w:rsidRDefault="008625D7" w:rsidP="008625D7">
            <w:pPr>
              <w:numPr>
                <w:ilvl w:val="0"/>
                <w:numId w:val="27"/>
              </w:numPr>
              <w:spacing w:line="240" w:lineRule="auto"/>
              <w:jc w:val="both"/>
              <w:rPr>
                <w:rFonts w:ascii="Times New Roman" w:hAnsi="Times New Roman"/>
                <w:spacing w:val="-2"/>
                <w:sz w:val="36"/>
              </w:rPr>
            </w:pPr>
            <w:r w:rsidRPr="003C19FE">
              <w:rPr>
                <w:rFonts w:ascii="Times New Roman" w:hAnsi="Times New Roman"/>
              </w:rPr>
              <w:t xml:space="preserve">Praca pod red. Wojciecha Misztala i Artura Kościańskiego (2011). Rozdroża praktyki i idei społeczeństwa obywatelskiego,  Warszawa: Wyd. IFiS PAN. </w:t>
            </w:r>
          </w:p>
          <w:p w:rsidR="008625D7" w:rsidRPr="00FC597A" w:rsidRDefault="008625D7" w:rsidP="008625D7">
            <w:pPr>
              <w:numPr>
                <w:ilvl w:val="0"/>
                <w:numId w:val="27"/>
              </w:numPr>
              <w:spacing w:line="240" w:lineRule="auto"/>
              <w:jc w:val="both"/>
              <w:rPr>
                <w:rFonts w:ascii="Times New Roman" w:hAnsi="Times New Roman"/>
                <w:spacing w:val="-2"/>
                <w:sz w:val="36"/>
              </w:rPr>
            </w:pPr>
            <w:r>
              <w:rPr>
                <w:rFonts w:ascii="Times New Roman" w:hAnsi="Times New Roman"/>
                <w:szCs w:val="20"/>
              </w:rPr>
              <w:t>Gliński, Piotr (2012</w:t>
            </w:r>
            <w:r w:rsidRPr="0056265C">
              <w:rPr>
                <w:rFonts w:ascii="Times New Roman" w:hAnsi="Times New Roman"/>
                <w:szCs w:val="20"/>
              </w:rPr>
              <w:t>).</w:t>
            </w:r>
            <w:r>
              <w:rPr>
                <w:rFonts w:ascii="Times New Roman" w:hAnsi="Times New Roman"/>
                <w:szCs w:val="20"/>
              </w:rPr>
              <w:t xml:space="preserve"> Idealna wizja polskiego sektora obywatelskiego. Jak mogłoby być i dlaczego tak nie jest. W: Trzeci Sektor, nr 26.</w:t>
            </w:r>
          </w:p>
          <w:p w:rsidR="008625D7" w:rsidRPr="008402D3" w:rsidRDefault="008625D7" w:rsidP="008625D7">
            <w:pPr>
              <w:numPr>
                <w:ilvl w:val="0"/>
                <w:numId w:val="27"/>
              </w:numPr>
              <w:spacing w:line="240" w:lineRule="auto"/>
              <w:jc w:val="both"/>
              <w:rPr>
                <w:rFonts w:ascii="Times New Roman" w:hAnsi="Times New Roman"/>
                <w:spacing w:val="-2"/>
                <w:sz w:val="36"/>
              </w:rPr>
            </w:pPr>
            <w:r>
              <w:rPr>
                <w:rFonts w:ascii="Times New Roman" w:hAnsi="Times New Roman"/>
                <w:szCs w:val="20"/>
              </w:rPr>
              <w:t>Frączak, Piotr (201</w:t>
            </w:r>
            <w:r w:rsidRPr="0056265C">
              <w:rPr>
                <w:rFonts w:ascii="Times New Roman" w:hAnsi="Times New Roman"/>
                <w:szCs w:val="20"/>
              </w:rPr>
              <w:t>2).</w:t>
            </w:r>
            <w:r>
              <w:rPr>
                <w:rFonts w:ascii="Times New Roman" w:hAnsi="Times New Roman"/>
                <w:szCs w:val="20"/>
              </w:rPr>
              <w:t xml:space="preserve"> W poszukiwaniu pozarządowej utopii, czyli idealna wizja polskiego sektora obywatelskiego. W: Trzeci Sektor, nr 26. </w:t>
            </w:r>
          </w:p>
          <w:p w:rsidR="008625D7" w:rsidRPr="003C19FE" w:rsidRDefault="008625D7" w:rsidP="008625D7">
            <w:pPr>
              <w:numPr>
                <w:ilvl w:val="0"/>
                <w:numId w:val="27"/>
              </w:numPr>
              <w:spacing w:line="240" w:lineRule="auto"/>
              <w:jc w:val="both"/>
              <w:rPr>
                <w:rFonts w:ascii="Times New Roman" w:hAnsi="Times New Roman"/>
                <w:spacing w:val="-2"/>
                <w:sz w:val="36"/>
              </w:rPr>
            </w:pPr>
            <w:r>
              <w:rPr>
                <w:rFonts w:ascii="Times New Roman" w:hAnsi="Times New Roman"/>
                <w:szCs w:val="20"/>
              </w:rPr>
              <w:t>Rymsza, Agnieszka (2013). Zagubiona tożsamość? Analiza porównawcza sektora pozarządowego w Polsce i w Stanach Zjednoczonych. Warszawa: MPiPS.</w:t>
            </w:r>
          </w:p>
          <w:p w:rsidR="008625D7" w:rsidRPr="00200A8C" w:rsidRDefault="008625D7" w:rsidP="008625D7">
            <w:pPr>
              <w:numPr>
                <w:ilvl w:val="0"/>
                <w:numId w:val="27"/>
              </w:numPr>
              <w:spacing w:line="240" w:lineRule="auto"/>
              <w:jc w:val="both"/>
              <w:rPr>
                <w:rFonts w:ascii="Times New Roman" w:hAnsi="Times New Roman"/>
                <w:spacing w:val="-2"/>
                <w:sz w:val="36"/>
              </w:rPr>
            </w:pPr>
            <w:r>
              <w:rPr>
                <w:rFonts w:ascii="Times New Roman" w:hAnsi="Times New Roman"/>
                <w:szCs w:val="20"/>
              </w:rPr>
              <w:t>Raport SPLOT i OFOP: Strategiczna Mapa Drogowa Rozwoju Sektora Obywatelskiego. III sektor dla Polski.</w:t>
            </w:r>
          </w:p>
          <w:p w:rsidR="00200A8C" w:rsidRPr="00FC597A" w:rsidRDefault="00200A8C" w:rsidP="008625D7">
            <w:pPr>
              <w:numPr>
                <w:ilvl w:val="0"/>
                <w:numId w:val="27"/>
              </w:numPr>
              <w:spacing w:line="240" w:lineRule="auto"/>
              <w:jc w:val="both"/>
              <w:rPr>
                <w:rFonts w:ascii="Times New Roman" w:hAnsi="Times New Roman"/>
                <w:spacing w:val="-2"/>
                <w:sz w:val="36"/>
              </w:rPr>
            </w:pPr>
            <w:r>
              <w:rPr>
                <w:rFonts w:ascii="Times New Roman" w:hAnsi="Times New Roman"/>
                <w:szCs w:val="20"/>
              </w:rPr>
              <w:t xml:space="preserve">Rymsza, Agnieszka (2016). Indeks stabilności organizacji społeczeństwa obywatelskiego dla Polski w latach 2006-2015 – wyniki, interpretacje, metodologia pomiaru. W: Trzeci Sektor, nr 39-40. </w:t>
            </w:r>
          </w:p>
          <w:p w:rsidR="008625D7" w:rsidRPr="003F4E06" w:rsidRDefault="008625D7" w:rsidP="008625D7">
            <w:pPr>
              <w:spacing w:line="240" w:lineRule="auto"/>
              <w:jc w:val="both"/>
              <w:rPr>
                <w:rFonts w:ascii="Times New Roman" w:hAnsi="Times New Roman"/>
                <w:spacing w:val="-2"/>
              </w:rPr>
            </w:pPr>
          </w:p>
        </w:tc>
      </w:tr>
    </w:tbl>
    <w:p w:rsidR="00A376EE" w:rsidRPr="005513E2" w:rsidRDefault="00A376EE" w:rsidP="002D3127">
      <w:pPr>
        <w:pStyle w:val="Nagwek1"/>
        <w:jc w:val="center"/>
        <w:rPr>
          <w:rFonts w:ascii="Times New Roman" w:hAnsi="Times New Roman" w:cs="Times New Roman"/>
          <w:i/>
          <w:sz w:val="20"/>
          <w:szCs w:val="20"/>
        </w:rPr>
      </w:pPr>
    </w:p>
    <w:sectPr w:rsidR="00A376EE" w:rsidRPr="005513E2" w:rsidSect="00725DE7">
      <w:pgSz w:w="11906" w:h="16838"/>
      <w:pgMar w:top="568" w:right="707" w:bottom="568" w:left="720"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C1A" w:rsidRDefault="006F7C1A" w:rsidP="00044739">
      <w:pPr>
        <w:spacing w:line="240" w:lineRule="auto"/>
      </w:pPr>
      <w:r>
        <w:separator/>
      </w:r>
    </w:p>
  </w:endnote>
  <w:endnote w:type="continuationSeparator" w:id="0">
    <w:p w:rsidR="006F7C1A" w:rsidRDefault="006F7C1A" w:rsidP="000447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C1A" w:rsidRDefault="006F7C1A" w:rsidP="00044739">
      <w:pPr>
        <w:spacing w:line="240" w:lineRule="auto"/>
      </w:pPr>
      <w:r>
        <w:separator/>
      </w:r>
    </w:p>
  </w:footnote>
  <w:footnote w:type="continuationSeparator" w:id="0">
    <w:p w:rsidR="006F7C1A" w:rsidRDefault="006F7C1A" w:rsidP="000447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1254D3"/>
    <w:multiLevelType w:val="hybridMultilevel"/>
    <w:tmpl w:val="32228FF4"/>
    <w:lvl w:ilvl="0" w:tplc="98348D0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5">
    <w:nsid w:val="1F3A2326"/>
    <w:multiLevelType w:val="hybridMultilevel"/>
    <w:tmpl w:val="4BC40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252F22"/>
    <w:multiLevelType w:val="hybridMultilevel"/>
    <w:tmpl w:val="89227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9B5179"/>
    <w:multiLevelType w:val="hybridMultilevel"/>
    <w:tmpl w:val="0A96A216"/>
    <w:lvl w:ilvl="0" w:tplc="06BE1258">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5">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6">
    <w:nsid w:val="3EBF7102"/>
    <w:multiLevelType w:val="hybridMultilevel"/>
    <w:tmpl w:val="37A29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9">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1">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3">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5">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5">
    <w:abstractNumId w:val="1"/>
  </w:num>
  <w:num w:numId="6">
    <w:abstractNumId w:val="13"/>
  </w:num>
  <w:num w:numId="7">
    <w:abstractNumId w:val="23"/>
  </w:num>
  <w:num w:numId="8">
    <w:abstractNumId w:val="3"/>
  </w:num>
  <w:num w:numId="9">
    <w:abstractNumId w:val="10"/>
  </w:num>
  <w:num w:numId="10">
    <w:abstractNumId w:val="17"/>
  </w:num>
  <w:num w:numId="11">
    <w:abstractNumId w:val="7"/>
  </w:num>
  <w:num w:numId="12">
    <w:abstractNumId w:val="19"/>
  </w:num>
  <w:num w:numId="13">
    <w:abstractNumId w:val="15"/>
  </w:num>
  <w:num w:numId="14">
    <w:abstractNumId w:val="18"/>
  </w:num>
  <w:num w:numId="15">
    <w:abstractNumId w:val="4"/>
  </w:num>
  <w:num w:numId="16">
    <w:abstractNumId w:val="14"/>
  </w:num>
  <w:num w:numId="17">
    <w:abstractNumId w:val="24"/>
  </w:num>
  <w:num w:numId="18">
    <w:abstractNumId w:val="20"/>
  </w:num>
  <w:num w:numId="19">
    <w:abstractNumId w:val="22"/>
  </w:num>
  <w:num w:numId="20">
    <w:abstractNumId w:val="8"/>
  </w:num>
  <w:num w:numId="21">
    <w:abstractNumId w:val="25"/>
  </w:num>
  <w:num w:numId="22">
    <w:abstractNumId w:val="26"/>
  </w:num>
  <w:num w:numId="23">
    <w:abstractNumId w:val="21"/>
  </w:num>
  <w:num w:numId="24">
    <w:abstractNumId w:val="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2"/>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646CB"/>
    <w:rsid w:val="000008E5"/>
    <w:rsid w:val="0000103E"/>
    <w:rsid w:val="000015EE"/>
    <w:rsid w:val="00001744"/>
    <w:rsid w:val="000022D5"/>
    <w:rsid w:val="00004C6A"/>
    <w:rsid w:val="00012678"/>
    <w:rsid w:val="00012D11"/>
    <w:rsid w:val="00013EB5"/>
    <w:rsid w:val="000155FB"/>
    <w:rsid w:val="00015A2D"/>
    <w:rsid w:val="00023836"/>
    <w:rsid w:val="00034F47"/>
    <w:rsid w:val="000356A9"/>
    <w:rsid w:val="00036101"/>
    <w:rsid w:val="00044138"/>
    <w:rsid w:val="00044739"/>
    <w:rsid w:val="00047069"/>
    <w:rsid w:val="0005049D"/>
    <w:rsid w:val="00051637"/>
    <w:rsid w:val="00053199"/>
    <w:rsid w:val="000532FF"/>
    <w:rsid w:val="00055BA0"/>
    <w:rsid w:val="00056681"/>
    <w:rsid w:val="00060F8C"/>
    <w:rsid w:val="000633A3"/>
    <w:rsid w:val="000648A7"/>
    <w:rsid w:val="000651DC"/>
    <w:rsid w:val="0006618B"/>
    <w:rsid w:val="000670C0"/>
    <w:rsid w:val="00071B99"/>
    <w:rsid w:val="000744C0"/>
    <w:rsid w:val="000756D9"/>
    <w:rsid w:val="000756E5"/>
    <w:rsid w:val="000759A0"/>
    <w:rsid w:val="00075B90"/>
    <w:rsid w:val="0007704E"/>
    <w:rsid w:val="00080EC8"/>
    <w:rsid w:val="00084F4D"/>
    <w:rsid w:val="00091179"/>
    <w:rsid w:val="000944AC"/>
    <w:rsid w:val="00094CB9"/>
    <w:rsid w:val="000956B2"/>
    <w:rsid w:val="000969E7"/>
    <w:rsid w:val="00096E08"/>
    <w:rsid w:val="000A223E"/>
    <w:rsid w:val="000A23DE"/>
    <w:rsid w:val="000A4020"/>
    <w:rsid w:val="000A6DFA"/>
    <w:rsid w:val="000A7F1B"/>
    <w:rsid w:val="000B54FB"/>
    <w:rsid w:val="000C29B0"/>
    <w:rsid w:val="000C6BE0"/>
    <w:rsid w:val="000C76FC"/>
    <w:rsid w:val="000C7A3F"/>
    <w:rsid w:val="000C7D23"/>
    <w:rsid w:val="000D38FC"/>
    <w:rsid w:val="000D4D90"/>
    <w:rsid w:val="000E24D2"/>
    <w:rsid w:val="000E2D10"/>
    <w:rsid w:val="000E7D04"/>
    <w:rsid w:val="000F3204"/>
    <w:rsid w:val="000F7FD1"/>
    <w:rsid w:val="0010296D"/>
    <w:rsid w:val="0010548B"/>
    <w:rsid w:val="0010639F"/>
    <w:rsid w:val="00106583"/>
    <w:rsid w:val="00106FEE"/>
    <w:rsid w:val="001072D1"/>
    <w:rsid w:val="001112D5"/>
    <w:rsid w:val="00113BE2"/>
    <w:rsid w:val="001141D7"/>
    <w:rsid w:val="00117017"/>
    <w:rsid w:val="00127D34"/>
    <w:rsid w:val="00127F6A"/>
    <w:rsid w:val="00130E8E"/>
    <w:rsid w:val="0013216E"/>
    <w:rsid w:val="001401B5"/>
    <w:rsid w:val="001422B9"/>
    <w:rsid w:val="001423BC"/>
    <w:rsid w:val="0014665F"/>
    <w:rsid w:val="00153464"/>
    <w:rsid w:val="001541B3"/>
    <w:rsid w:val="00155B15"/>
    <w:rsid w:val="00155F3C"/>
    <w:rsid w:val="00156C63"/>
    <w:rsid w:val="001625BE"/>
    <w:rsid w:val="001643A4"/>
    <w:rsid w:val="001727BB"/>
    <w:rsid w:val="0017602C"/>
    <w:rsid w:val="0017677A"/>
    <w:rsid w:val="00176BD5"/>
    <w:rsid w:val="001801B4"/>
    <w:rsid w:val="00180D25"/>
    <w:rsid w:val="001819BA"/>
    <w:rsid w:val="00181D5C"/>
    <w:rsid w:val="0018318D"/>
    <w:rsid w:val="0018572C"/>
    <w:rsid w:val="00187E79"/>
    <w:rsid w:val="00187F0D"/>
    <w:rsid w:val="00192CC5"/>
    <w:rsid w:val="001956A7"/>
    <w:rsid w:val="00196635"/>
    <w:rsid w:val="001A118A"/>
    <w:rsid w:val="001A27F4"/>
    <w:rsid w:val="001A2D95"/>
    <w:rsid w:val="001A50D1"/>
    <w:rsid w:val="001A7A92"/>
    <w:rsid w:val="001B3460"/>
    <w:rsid w:val="001B4CA1"/>
    <w:rsid w:val="001B6560"/>
    <w:rsid w:val="001B75D8"/>
    <w:rsid w:val="001C1060"/>
    <w:rsid w:val="001C3C63"/>
    <w:rsid w:val="001C722A"/>
    <w:rsid w:val="001C7B02"/>
    <w:rsid w:val="001D4732"/>
    <w:rsid w:val="001D5530"/>
    <w:rsid w:val="001D6A3C"/>
    <w:rsid w:val="001D6D51"/>
    <w:rsid w:val="001E05C8"/>
    <w:rsid w:val="001E2800"/>
    <w:rsid w:val="001F653A"/>
    <w:rsid w:val="001F6979"/>
    <w:rsid w:val="001F7909"/>
    <w:rsid w:val="00200A8C"/>
    <w:rsid w:val="00202BC6"/>
    <w:rsid w:val="00205141"/>
    <w:rsid w:val="0020516B"/>
    <w:rsid w:val="00213559"/>
    <w:rsid w:val="00213638"/>
    <w:rsid w:val="00213EFD"/>
    <w:rsid w:val="002172F1"/>
    <w:rsid w:val="00223C7B"/>
    <w:rsid w:val="00224AB1"/>
    <w:rsid w:val="0022687A"/>
    <w:rsid w:val="00230728"/>
    <w:rsid w:val="00230A3B"/>
    <w:rsid w:val="002310EB"/>
    <w:rsid w:val="0023175B"/>
    <w:rsid w:val="00234040"/>
    <w:rsid w:val="00235CD2"/>
    <w:rsid w:val="002461C6"/>
    <w:rsid w:val="00250BCC"/>
    <w:rsid w:val="00254DED"/>
    <w:rsid w:val="00255619"/>
    <w:rsid w:val="00255DAD"/>
    <w:rsid w:val="00256108"/>
    <w:rsid w:val="00260F33"/>
    <w:rsid w:val="002613BD"/>
    <w:rsid w:val="002624F1"/>
    <w:rsid w:val="0026353A"/>
    <w:rsid w:val="00270C81"/>
    <w:rsid w:val="00270DC8"/>
    <w:rsid w:val="00271558"/>
    <w:rsid w:val="00274862"/>
    <w:rsid w:val="00282D72"/>
    <w:rsid w:val="00283170"/>
    <w:rsid w:val="00283402"/>
    <w:rsid w:val="00290FD6"/>
    <w:rsid w:val="00294259"/>
    <w:rsid w:val="00295101"/>
    <w:rsid w:val="0029705C"/>
    <w:rsid w:val="002A2C81"/>
    <w:rsid w:val="002A4D79"/>
    <w:rsid w:val="002B3D1A"/>
    <w:rsid w:val="002C13EF"/>
    <w:rsid w:val="002C27D0"/>
    <w:rsid w:val="002C2C9B"/>
    <w:rsid w:val="002D17D6"/>
    <w:rsid w:val="002D18D7"/>
    <w:rsid w:val="002D21CE"/>
    <w:rsid w:val="002D3127"/>
    <w:rsid w:val="002D6E1D"/>
    <w:rsid w:val="002E38F4"/>
    <w:rsid w:val="002E3B82"/>
    <w:rsid w:val="002E3DA3"/>
    <w:rsid w:val="002E450F"/>
    <w:rsid w:val="002E6B38"/>
    <w:rsid w:val="002E6D63"/>
    <w:rsid w:val="002E6E2B"/>
    <w:rsid w:val="002F4C70"/>
    <w:rsid w:val="002F500B"/>
    <w:rsid w:val="00300991"/>
    <w:rsid w:val="00301959"/>
    <w:rsid w:val="00305B8A"/>
    <w:rsid w:val="00312B80"/>
    <w:rsid w:val="00315A33"/>
    <w:rsid w:val="00316D88"/>
    <w:rsid w:val="003213B9"/>
    <w:rsid w:val="00321D30"/>
    <w:rsid w:val="003235E2"/>
    <w:rsid w:val="00323D56"/>
    <w:rsid w:val="00323E69"/>
    <w:rsid w:val="00327E2E"/>
    <w:rsid w:val="00331BF9"/>
    <w:rsid w:val="003325F9"/>
    <w:rsid w:val="0033495E"/>
    <w:rsid w:val="00334A79"/>
    <w:rsid w:val="00334D8D"/>
    <w:rsid w:val="00336885"/>
    <w:rsid w:val="00337345"/>
    <w:rsid w:val="00337DD2"/>
    <w:rsid w:val="003404D1"/>
    <w:rsid w:val="00340B38"/>
    <w:rsid w:val="003443FF"/>
    <w:rsid w:val="00344420"/>
    <w:rsid w:val="00355808"/>
    <w:rsid w:val="00362C7E"/>
    <w:rsid w:val="00363309"/>
    <w:rsid w:val="00363601"/>
    <w:rsid w:val="003638E8"/>
    <w:rsid w:val="00372C96"/>
    <w:rsid w:val="00376AC9"/>
    <w:rsid w:val="003823FE"/>
    <w:rsid w:val="00383565"/>
    <w:rsid w:val="00385B72"/>
    <w:rsid w:val="00393032"/>
    <w:rsid w:val="00393303"/>
    <w:rsid w:val="00394B69"/>
    <w:rsid w:val="00397078"/>
    <w:rsid w:val="003A077C"/>
    <w:rsid w:val="003A1B0D"/>
    <w:rsid w:val="003A6953"/>
    <w:rsid w:val="003B6083"/>
    <w:rsid w:val="003C19FE"/>
    <w:rsid w:val="003C3838"/>
    <w:rsid w:val="003C5847"/>
    <w:rsid w:val="003D0681"/>
    <w:rsid w:val="003D10EC"/>
    <w:rsid w:val="003D12F6"/>
    <w:rsid w:val="003D1426"/>
    <w:rsid w:val="003D32CC"/>
    <w:rsid w:val="003D6D91"/>
    <w:rsid w:val="003E2F4E"/>
    <w:rsid w:val="003E720A"/>
    <w:rsid w:val="003E7923"/>
    <w:rsid w:val="003F2D50"/>
    <w:rsid w:val="003F4E06"/>
    <w:rsid w:val="003F75C5"/>
    <w:rsid w:val="00401DFE"/>
    <w:rsid w:val="00403E6E"/>
    <w:rsid w:val="004075B5"/>
    <w:rsid w:val="004102B6"/>
    <w:rsid w:val="004129B4"/>
    <w:rsid w:val="00416BAA"/>
    <w:rsid w:val="00417EF0"/>
    <w:rsid w:val="00420413"/>
    <w:rsid w:val="00421684"/>
    <w:rsid w:val="00421F55"/>
    <w:rsid w:val="00422181"/>
    <w:rsid w:val="00422526"/>
    <w:rsid w:val="004244A8"/>
    <w:rsid w:val="00425F72"/>
    <w:rsid w:val="00427736"/>
    <w:rsid w:val="00432F14"/>
    <w:rsid w:val="004347FD"/>
    <w:rsid w:val="00435043"/>
    <w:rsid w:val="00436400"/>
    <w:rsid w:val="00441787"/>
    <w:rsid w:val="00444F2D"/>
    <w:rsid w:val="004502F5"/>
    <w:rsid w:val="00451536"/>
    <w:rsid w:val="00451E6B"/>
    <w:rsid w:val="00452034"/>
    <w:rsid w:val="00454BFF"/>
    <w:rsid w:val="00455FA6"/>
    <w:rsid w:val="004660A3"/>
    <w:rsid w:val="0046621E"/>
    <w:rsid w:val="00466C70"/>
    <w:rsid w:val="004702C9"/>
    <w:rsid w:val="00472E45"/>
    <w:rsid w:val="00473FEA"/>
    <w:rsid w:val="0047579D"/>
    <w:rsid w:val="00483262"/>
    <w:rsid w:val="00484107"/>
    <w:rsid w:val="00485CC5"/>
    <w:rsid w:val="004866B6"/>
    <w:rsid w:val="00486F06"/>
    <w:rsid w:val="00490793"/>
    <w:rsid w:val="0049343F"/>
    <w:rsid w:val="00493E56"/>
    <w:rsid w:val="004964FC"/>
    <w:rsid w:val="004A0ED5"/>
    <w:rsid w:val="004A145E"/>
    <w:rsid w:val="004A1F15"/>
    <w:rsid w:val="004A2A81"/>
    <w:rsid w:val="004A6354"/>
    <w:rsid w:val="004A7BD7"/>
    <w:rsid w:val="004C15C2"/>
    <w:rsid w:val="004C36D8"/>
    <w:rsid w:val="004C6E77"/>
    <w:rsid w:val="004D1248"/>
    <w:rsid w:val="004D1E3C"/>
    <w:rsid w:val="004D4169"/>
    <w:rsid w:val="004D6E14"/>
    <w:rsid w:val="004E151E"/>
    <w:rsid w:val="004F16DF"/>
    <w:rsid w:val="004F28DB"/>
    <w:rsid w:val="004F4E17"/>
    <w:rsid w:val="0050082F"/>
    <w:rsid w:val="00500C56"/>
    <w:rsid w:val="00501713"/>
    <w:rsid w:val="00502C7B"/>
    <w:rsid w:val="00506568"/>
    <w:rsid w:val="00507E17"/>
    <w:rsid w:val="00510419"/>
    <w:rsid w:val="0051551B"/>
    <w:rsid w:val="00520C57"/>
    <w:rsid w:val="005229E6"/>
    <w:rsid w:val="00522D94"/>
    <w:rsid w:val="00525A39"/>
    <w:rsid w:val="00525B68"/>
    <w:rsid w:val="00533632"/>
    <w:rsid w:val="00533D89"/>
    <w:rsid w:val="00536564"/>
    <w:rsid w:val="00537F1E"/>
    <w:rsid w:val="00544597"/>
    <w:rsid w:val="00544FFE"/>
    <w:rsid w:val="00547101"/>
    <w:rsid w:val="005473F5"/>
    <w:rsid w:val="005477E7"/>
    <w:rsid w:val="005513E2"/>
    <w:rsid w:val="00552794"/>
    <w:rsid w:val="005543CF"/>
    <w:rsid w:val="00554921"/>
    <w:rsid w:val="00555820"/>
    <w:rsid w:val="0056265C"/>
    <w:rsid w:val="00563199"/>
    <w:rsid w:val="00564874"/>
    <w:rsid w:val="005654B4"/>
    <w:rsid w:val="00567963"/>
    <w:rsid w:val="0057009A"/>
    <w:rsid w:val="00571260"/>
    <w:rsid w:val="0057189C"/>
    <w:rsid w:val="00573FC1"/>
    <w:rsid w:val="005741EE"/>
    <w:rsid w:val="0057668E"/>
    <w:rsid w:val="0057759A"/>
    <w:rsid w:val="005807DA"/>
    <w:rsid w:val="00581FB6"/>
    <w:rsid w:val="0059031A"/>
    <w:rsid w:val="005924C1"/>
    <w:rsid w:val="00595E83"/>
    <w:rsid w:val="00596530"/>
    <w:rsid w:val="005967F3"/>
    <w:rsid w:val="005974AB"/>
    <w:rsid w:val="005A06DF"/>
    <w:rsid w:val="005A5527"/>
    <w:rsid w:val="005A5AE6"/>
    <w:rsid w:val="005A79E3"/>
    <w:rsid w:val="005B0770"/>
    <w:rsid w:val="005B0AB0"/>
    <w:rsid w:val="005B0F21"/>
    <w:rsid w:val="005B1206"/>
    <w:rsid w:val="005B34BD"/>
    <w:rsid w:val="005B37E8"/>
    <w:rsid w:val="005B58FD"/>
    <w:rsid w:val="005B7BA0"/>
    <w:rsid w:val="005C0056"/>
    <w:rsid w:val="005C56F4"/>
    <w:rsid w:val="005D61D6"/>
    <w:rsid w:val="005E0D13"/>
    <w:rsid w:val="005E2FEC"/>
    <w:rsid w:val="005E5047"/>
    <w:rsid w:val="005E5D16"/>
    <w:rsid w:val="005E7205"/>
    <w:rsid w:val="005E7371"/>
    <w:rsid w:val="005F116C"/>
    <w:rsid w:val="005F2131"/>
    <w:rsid w:val="005F5A7B"/>
    <w:rsid w:val="00600CFE"/>
    <w:rsid w:val="0060153F"/>
    <w:rsid w:val="00603BD4"/>
    <w:rsid w:val="00604311"/>
    <w:rsid w:val="00605EF6"/>
    <w:rsid w:val="00606455"/>
    <w:rsid w:val="00612479"/>
    <w:rsid w:val="00614929"/>
    <w:rsid w:val="00616511"/>
    <w:rsid w:val="006176ED"/>
    <w:rsid w:val="006202F3"/>
    <w:rsid w:val="0062097A"/>
    <w:rsid w:val="006219C0"/>
    <w:rsid w:val="00621DA6"/>
    <w:rsid w:val="006233F0"/>
    <w:rsid w:val="00623CFE"/>
    <w:rsid w:val="00625432"/>
    <w:rsid w:val="00627221"/>
    <w:rsid w:val="00627EE8"/>
    <w:rsid w:val="006316FA"/>
    <w:rsid w:val="006370D2"/>
    <w:rsid w:val="0064074F"/>
    <w:rsid w:val="00641F55"/>
    <w:rsid w:val="00645E4A"/>
    <w:rsid w:val="006463BA"/>
    <w:rsid w:val="006472FE"/>
    <w:rsid w:val="00653285"/>
    <w:rsid w:val="00653688"/>
    <w:rsid w:val="006539D5"/>
    <w:rsid w:val="0066091B"/>
    <w:rsid w:val="00664069"/>
    <w:rsid w:val="00664F2B"/>
    <w:rsid w:val="0066584B"/>
    <w:rsid w:val="006660E9"/>
    <w:rsid w:val="00667249"/>
    <w:rsid w:val="00667558"/>
    <w:rsid w:val="00671523"/>
    <w:rsid w:val="006754EF"/>
    <w:rsid w:val="00676C8D"/>
    <w:rsid w:val="00676F1F"/>
    <w:rsid w:val="00677381"/>
    <w:rsid w:val="00677414"/>
    <w:rsid w:val="00680E09"/>
    <w:rsid w:val="006832CF"/>
    <w:rsid w:val="0068440C"/>
    <w:rsid w:val="0068601E"/>
    <w:rsid w:val="006862C0"/>
    <w:rsid w:val="0069486B"/>
    <w:rsid w:val="006A48B4"/>
    <w:rsid w:val="006A4904"/>
    <w:rsid w:val="006A548F"/>
    <w:rsid w:val="006A701A"/>
    <w:rsid w:val="006B221F"/>
    <w:rsid w:val="006B430A"/>
    <w:rsid w:val="006B64DC"/>
    <w:rsid w:val="006B7A91"/>
    <w:rsid w:val="006C3406"/>
    <w:rsid w:val="006D4704"/>
    <w:rsid w:val="006D6A2D"/>
    <w:rsid w:val="006E1E18"/>
    <w:rsid w:val="006E2658"/>
    <w:rsid w:val="006E2B96"/>
    <w:rsid w:val="006E31CE"/>
    <w:rsid w:val="006E34D3"/>
    <w:rsid w:val="006F1435"/>
    <w:rsid w:val="006F4CF5"/>
    <w:rsid w:val="006F78C4"/>
    <w:rsid w:val="006F7A34"/>
    <w:rsid w:val="006F7C1A"/>
    <w:rsid w:val="007031A0"/>
    <w:rsid w:val="00705A29"/>
    <w:rsid w:val="00707498"/>
    <w:rsid w:val="00711A65"/>
    <w:rsid w:val="00712DB1"/>
    <w:rsid w:val="00714133"/>
    <w:rsid w:val="00714DA4"/>
    <w:rsid w:val="007158B2"/>
    <w:rsid w:val="00716023"/>
    <w:rsid w:val="00716081"/>
    <w:rsid w:val="0071699C"/>
    <w:rsid w:val="00716D5D"/>
    <w:rsid w:val="00722B48"/>
    <w:rsid w:val="00724164"/>
    <w:rsid w:val="00725DE7"/>
    <w:rsid w:val="0072636A"/>
    <w:rsid w:val="007264B3"/>
    <w:rsid w:val="00726B44"/>
    <w:rsid w:val="007318DD"/>
    <w:rsid w:val="007322FE"/>
    <w:rsid w:val="00733167"/>
    <w:rsid w:val="00740D2C"/>
    <w:rsid w:val="00744BF9"/>
    <w:rsid w:val="00745EA7"/>
    <w:rsid w:val="00746D3F"/>
    <w:rsid w:val="00750993"/>
    <w:rsid w:val="00752623"/>
    <w:rsid w:val="007558CC"/>
    <w:rsid w:val="0075626F"/>
    <w:rsid w:val="00760F1F"/>
    <w:rsid w:val="0076423E"/>
    <w:rsid w:val="007646CB"/>
    <w:rsid w:val="0076658F"/>
    <w:rsid w:val="0077040A"/>
    <w:rsid w:val="00772D64"/>
    <w:rsid w:val="007737CE"/>
    <w:rsid w:val="007820BF"/>
    <w:rsid w:val="00792609"/>
    <w:rsid w:val="00792887"/>
    <w:rsid w:val="007943E2"/>
    <w:rsid w:val="00794F2C"/>
    <w:rsid w:val="007A247E"/>
    <w:rsid w:val="007A3BC7"/>
    <w:rsid w:val="007A464E"/>
    <w:rsid w:val="007A5676"/>
    <w:rsid w:val="007A5AC4"/>
    <w:rsid w:val="007B0FDD"/>
    <w:rsid w:val="007B4802"/>
    <w:rsid w:val="007B6668"/>
    <w:rsid w:val="007B6B33"/>
    <w:rsid w:val="007C2701"/>
    <w:rsid w:val="007C3ED4"/>
    <w:rsid w:val="007C6A4B"/>
    <w:rsid w:val="007D2192"/>
    <w:rsid w:val="007D49DB"/>
    <w:rsid w:val="007E5C29"/>
    <w:rsid w:val="007F0021"/>
    <w:rsid w:val="007F2F52"/>
    <w:rsid w:val="00801F71"/>
    <w:rsid w:val="00805F28"/>
    <w:rsid w:val="0080637E"/>
    <w:rsid w:val="0080749F"/>
    <w:rsid w:val="00811D46"/>
    <w:rsid w:val="008125B0"/>
    <w:rsid w:val="008144CB"/>
    <w:rsid w:val="00821717"/>
    <w:rsid w:val="0082420B"/>
    <w:rsid w:val="00824210"/>
    <w:rsid w:val="00825AD8"/>
    <w:rsid w:val="008263C0"/>
    <w:rsid w:val="008271E9"/>
    <w:rsid w:val="00827447"/>
    <w:rsid w:val="00837FD4"/>
    <w:rsid w:val="008402D3"/>
    <w:rsid w:val="00841422"/>
    <w:rsid w:val="00841D3B"/>
    <w:rsid w:val="0084314C"/>
    <w:rsid w:val="00843171"/>
    <w:rsid w:val="00843F65"/>
    <w:rsid w:val="00843F77"/>
    <w:rsid w:val="0085338C"/>
    <w:rsid w:val="0085594C"/>
    <w:rsid w:val="008575C3"/>
    <w:rsid w:val="008625D7"/>
    <w:rsid w:val="00863D28"/>
    <w:rsid w:val="00863F29"/>
    <w:rsid w:val="008648C3"/>
    <w:rsid w:val="008663DF"/>
    <w:rsid w:val="00867E49"/>
    <w:rsid w:val="008703B5"/>
    <w:rsid w:val="00876745"/>
    <w:rsid w:val="0087748E"/>
    <w:rsid w:val="00880F26"/>
    <w:rsid w:val="00882556"/>
    <w:rsid w:val="008865A0"/>
    <w:rsid w:val="00887B63"/>
    <w:rsid w:val="00892D8A"/>
    <w:rsid w:val="00896C2E"/>
    <w:rsid w:val="008A08FD"/>
    <w:rsid w:val="008A5095"/>
    <w:rsid w:val="008A608F"/>
    <w:rsid w:val="008B1A9A"/>
    <w:rsid w:val="008B3438"/>
    <w:rsid w:val="008B4FE6"/>
    <w:rsid w:val="008B6C37"/>
    <w:rsid w:val="008C36BE"/>
    <w:rsid w:val="008C3B76"/>
    <w:rsid w:val="008D1F75"/>
    <w:rsid w:val="008D7817"/>
    <w:rsid w:val="008E0DBB"/>
    <w:rsid w:val="008E18F7"/>
    <w:rsid w:val="008E1E10"/>
    <w:rsid w:val="008E291B"/>
    <w:rsid w:val="008E4F2F"/>
    <w:rsid w:val="008E74B0"/>
    <w:rsid w:val="008F7E30"/>
    <w:rsid w:val="009008A8"/>
    <w:rsid w:val="009063B0"/>
    <w:rsid w:val="00907106"/>
    <w:rsid w:val="009107FD"/>
    <w:rsid w:val="0091137C"/>
    <w:rsid w:val="00911567"/>
    <w:rsid w:val="00912EDB"/>
    <w:rsid w:val="00913900"/>
    <w:rsid w:val="00917AAE"/>
    <w:rsid w:val="009251A9"/>
    <w:rsid w:val="00925450"/>
    <w:rsid w:val="00930699"/>
    <w:rsid w:val="0093088A"/>
    <w:rsid w:val="00931668"/>
    <w:rsid w:val="00931F69"/>
    <w:rsid w:val="00932B99"/>
    <w:rsid w:val="00934123"/>
    <w:rsid w:val="00951C75"/>
    <w:rsid w:val="00955774"/>
    <w:rsid w:val="009560B5"/>
    <w:rsid w:val="00961CB0"/>
    <w:rsid w:val="0096241D"/>
    <w:rsid w:val="00964D73"/>
    <w:rsid w:val="009703D6"/>
    <w:rsid w:val="0097181B"/>
    <w:rsid w:val="00976DC5"/>
    <w:rsid w:val="009818C7"/>
    <w:rsid w:val="00982DD4"/>
    <w:rsid w:val="009841E5"/>
    <w:rsid w:val="0098479F"/>
    <w:rsid w:val="00984A8A"/>
    <w:rsid w:val="009857B6"/>
    <w:rsid w:val="00985A8D"/>
    <w:rsid w:val="00986610"/>
    <w:rsid w:val="009877DC"/>
    <w:rsid w:val="0099134D"/>
    <w:rsid w:val="00991F96"/>
    <w:rsid w:val="009937F1"/>
    <w:rsid w:val="00996F0A"/>
    <w:rsid w:val="009A1D86"/>
    <w:rsid w:val="009A46C1"/>
    <w:rsid w:val="009B049C"/>
    <w:rsid w:val="009B11C8"/>
    <w:rsid w:val="009B2BCF"/>
    <w:rsid w:val="009B2FF8"/>
    <w:rsid w:val="009B5BA3"/>
    <w:rsid w:val="009B5E51"/>
    <w:rsid w:val="009B5F1E"/>
    <w:rsid w:val="009B70C9"/>
    <w:rsid w:val="009D0027"/>
    <w:rsid w:val="009D0655"/>
    <w:rsid w:val="009D41AA"/>
    <w:rsid w:val="009E1E98"/>
    <w:rsid w:val="009E3ABE"/>
    <w:rsid w:val="009E3C4B"/>
    <w:rsid w:val="009F0637"/>
    <w:rsid w:val="009F3C79"/>
    <w:rsid w:val="009F62A6"/>
    <w:rsid w:val="009F674F"/>
    <w:rsid w:val="009F799E"/>
    <w:rsid w:val="00A02020"/>
    <w:rsid w:val="00A056CB"/>
    <w:rsid w:val="00A05FBC"/>
    <w:rsid w:val="00A07A29"/>
    <w:rsid w:val="00A10FF1"/>
    <w:rsid w:val="00A13566"/>
    <w:rsid w:val="00A1506B"/>
    <w:rsid w:val="00A173A0"/>
    <w:rsid w:val="00A17CB2"/>
    <w:rsid w:val="00A22A02"/>
    <w:rsid w:val="00A23191"/>
    <w:rsid w:val="00A26318"/>
    <w:rsid w:val="00A319C0"/>
    <w:rsid w:val="00A33560"/>
    <w:rsid w:val="00A34D44"/>
    <w:rsid w:val="00A34E04"/>
    <w:rsid w:val="00A364E4"/>
    <w:rsid w:val="00A371A5"/>
    <w:rsid w:val="00A376EE"/>
    <w:rsid w:val="00A41AAF"/>
    <w:rsid w:val="00A420F7"/>
    <w:rsid w:val="00A4327F"/>
    <w:rsid w:val="00A47BDF"/>
    <w:rsid w:val="00A51146"/>
    <w:rsid w:val="00A51CD7"/>
    <w:rsid w:val="00A52ADB"/>
    <w:rsid w:val="00A533E8"/>
    <w:rsid w:val="00A542D9"/>
    <w:rsid w:val="00A56E64"/>
    <w:rsid w:val="00A60C10"/>
    <w:rsid w:val="00A624C3"/>
    <w:rsid w:val="00A627B9"/>
    <w:rsid w:val="00A6641C"/>
    <w:rsid w:val="00A767D2"/>
    <w:rsid w:val="00A77616"/>
    <w:rsid w:val="00A805DA"/>
    <w:rsid w:val="00A811B4"/>
    <w:rsid w:val="00A87CDE"/>
    <w:rsid w:val="00A918E6"/>
    <w:rsid w:val="00A92BAF"/>
    <w:rsid w:val="00A94737"/>
    <w:rsid w:val="00A94AAD"/>
    <w:rsid w:val="00A94BA3"/>
    <w:rsid w:val="00A96CBA"/>
    <w:rsid w:val="00A97CDA"/>
    <w:rsid w:val="00AB1ACD"/>
    <w:rsid w:val="00AB277F"/>
    <w:rsid w:val="00AB4099"/>
    <w:rsid w:val="00AB441F"/>
    <w:rsid w:val="00AB449A"/>
    <w:rsid w:val="00AD14F9"/>
    <w:rsid w:val="00AD35D6"/>
    <w:rsid w:val="00AD58C5"/>
    <w:rsid w:val="00AE36C4"/>
    <w:rsid w:val="00AE472C"/>
    <w:rsid w:val="00AE5375"/>
    <w:rsid w:val="00AE6CF8"/>
    <w:rsid w:val="00AE7B84"/>
    <w:rsid w:val="00AF4CAC"/>
    <w:rsid w:val="00B01669"/>
    <w:rsid w:val="00B02361"/>
    <w:rsid w:val="00B03E0D"/>
    <w:rsid w:val="00B054F8"/>
    <w:rsid w:val="00B07D12"/>
    <w:rsid w:val="00B1644A"/>
    <w:rsid w:val="00B2219A"/>
    <w:rsid w:val="00B3581B"/>
    <w:rsid w:val="00B36B81"/>
    <w:rsid w:val="00B36FEE"/>
    <w:rsid w:val="00B37C80"/>
    <w:rsid w:val="00B43DDD"/>
    <w:rsid w:val="00B5092B"/>
    <w:rsid w:val="00B5194E"/>
    <w:rsid w:val="00B51AF5"/>
    <w:rsid w:val="00B531FC"/>
    <w:rsid w:val="00B53DF6"/>
    <w:rsid w:val="00B55347"/>
    <w:rsid w:val="00B5541E"/>
    <w:rsid w:val="00B55900"/>
    <w:rsid w:val="00B57E5E"/>
    <w:rsid w:val="00B61F37"/>
    <w:rsid w:val="00B638D3"/>
    <w:rsid w:val="00B72E4E"/>
    <w:rsid w:val="00B7770F"/>
    <w:rsid w:val="00B77A89"/>
    <w:rsid w:val="00B77B27"/>
    <w:rsid w:val="00B8134E"/>
    <w:rsid w:val="00B81B55"/>
    <w:rsid w:val="00B84613"/>
    <w:rsid w:val="00B85AC4"/>
    <w:rsid w:val="00B87AF0"/>
    <w:rsid w:val="00B9037B"/>
    <w:rsid w:val="00B90665"/>
    <w:rsid w:val="00B910BD"/>
    <w:rsid w:val="00B93834"/>
    <w:rsid w:val="00B96469"/>
    <w:rsid w:val="00BA0DA2"/>
    <w:rsid w:val="00BA2981"/>
    <w:rsid w:val="00BA42EE"/>
    <w:rsid w:val="00BA48F9"/>
    <w:rsid w:val="00BB0A41"/>
    <w:rsid w:val="00BB0DCA"/>
    <w:rsid w:val="00BB2666"/>
    <w:rsid w:val="00BB6B80"/>
    <w:rsid w:val="00BC3773"/>
    <w:rsid w:val="00BC381A"/>
    <w:rsid w:val="00BC3E5F"/>
    <w:rsid w:val="00BC7BA8"/>
    <w:rsid w:val="00BD05E3"/>
    <w:rsid w:val="00BD0962"/>
    <w:rsid w:val="00BD1EED"/>
    <w:rsid w:val="00BD3E6B"/>
    <w:rsid w:val="00BE108C"/>
    <w:rsid w:val="00BE59D0"/>
    <w:rsid w:val="00BE70AA"/>
    <w:rsid w:val="00BE75D4"/>
    <w:rsid w:val="00BF008C"/>
    <w:rsid w:val="00BF0DA2"/>
    <w:rsid w:val="00BF109C"/>
    <w:rsid w:val="00BF34FA"/>
    <w:rsid w:val="00BF400C"/>
    <w:rsid w:val="00C004B6"/>
    <w:rsid w:val="00C0081F"/>
    <w:rsid w:val="00C047A7"/>
    <w:rsid w:val="00C05DE5"/>
    <w:rsid w:val="00C20491"/>
    <w:rsid w:val="00C33027"/>
    <w:rsid w:val="00C33898"/>
    <w:rsid w:val="00C37667"/>
    <w:rsid w:val="00C435DB"/>
    <w:rsid w:val="00C44D73"/>
    <w:rsid w:val="00C50B42"/>
    <w:rsid w:val="00C516FF"/>
    <w:rsid w:val="00C52BFA"/>
    <w:rsid w:val="00C53D1D"/>
    <w:rsid w:val="00C53F26"/>
    <w:rsid w:val="00C540BC"/>
    <w:rsid w:val="00C64F7D"/>
    <w:rsid w:val="00C67309"/>
    <w:rsid w:val="00C730C8"/>
    <w:rsid w:val="00C7550B"/>
    <w:rsid w:val="00C7614E"/>
    <w:rsid w:val="00C77BF1"/>
    <w:rsid w:val="00C80D60"/>
    <w:rsid w:val="00C82FBD"/>
    <w:rsid w:val="00C838CC"/>
    <w:rsid w:val="00C85267"/>
    <w:rsid w:val="00C8721B"/>
    <w:rsid w:val="00C9372C"/>
    <w:rsid w:val="00C9470E"/>
    <w:rsid w:val="00C95CEB"/>
    <w:rsid w:val="00CA1054"/>
    <w:rsid w:val="00CA63EB"/>
    <w:rsid w:val="00CA6851"/>
    <w:rsid w:val="00CA69F1"/>
    <w:rsid w:val="00CA6CB3"/>
    <w:rsid w:val="00CB42F9"/>
    <w:rsid w:val="00CB6991"/>
    <w:rsid w:val="00CC6194"/>
    <w:rsid w:val="00CC6305"/>
    <w:rsid w:val="00CC78A5"/>
    <w:rsid w:val="00CD0516"/>
    <w:rsid w:val="00CD505B"/>
    <w:rsid w:val="00CD5215"/>
    <w:rsid w:val="00CD6415"/>
    <w:rsid w:val="00CD756B"/>
    <w:rsid w:val="00CE734F"/>
    <w:rsid w:val="00CF112E"/>
    <w:rsid w:val="00CF586F"/>
    <w:rsid w:val="00CF5F4F"/>
    <w:rsid w:val="00D12B89"/>
    <w:rsid w:val="00D218DC"/>
    <w:rsid w:val="00D222FC"/>
    <w:rsid w:val="00D24E56"/>
    <w:rsid w:val="00D264F8"/>
    <w:rsid w:val="00D26F99"/>
    <w:rsid w:val="00D27538"/>
    <w:rsid w:val="00D31643"/>
    <w:rsid w:val="00D31AEB"/>
    <w:rsid w:val="00D32ECD"/>
    <w:rsid w:val="00D33F2F"/>
    <w:rsid w:val="00D361E4"/>
    <w:rsid w:val="00D42A8F"/>
    <w:rsid w:val="00D439F6"/>
    <w:rsid w:val="00D459C6"/>
    <w:rsid w:val="00D50729"/>
    <w:rsid w:val="00D50C19"/>
    <w:rsid w:val="00D5379E"/>
    <w:rsid w:val="00D54434"/>
    <w:rsid w:val="00D62643"/>
    <w:rsid w:val="00D64C0F"/>
    <w:rsid w:val="00D71781"/>
    <w:rsid w:val="00D72EFE"/>
    <w:rsid w:val="00D76227"/>
    <w:rsid w:val="00D77DF1"/>
    <w:rsid w:val="00D86AFF"/>
    <w:rsid w:val="00D95A44"/>
    <w:rsid w:val="00D95D16"/>
    <w:rsid w:val="00D97000"/>
    <w:rsid w:val="00D97C76"/>
    <w:rsid w:val="00DA7591"/>
    <w:rsid w:val="00DB02B4"/>
    <w:rsid w:val="00DB2DF6"/>
    <w:rsid w:val="00DB32BE"/>
    <w:rsid w:val="00DB538D"/>
    <w:rsid w:val="00DB6996"/>
    <w:rsid w:val="00DB6F0C"/>
    <w:rsid w:val="00DC275C"/>
    <w:rsid w:val="00DC4B0D"/>
    <w:rsid w:val="00DC7FE1"/>
    <w:rsid w:val="00DD00B9"/>
    <w:rsid w:val="00DD0B66"/>
    <w:rsid w:val="00DD3F3F"/>
    <w:rsid w:val="00DD5572"/>
    <w:rsid w:val="00DD6BB6"/>
    <w:rsid w:val="00DD770E"/>
    <w:rsid w:val="00DE0CD1"/>
    <w:rsid w:val="00DE2263"/>
    <w:rsid w:val="00DE37A4"/>
    <w:rsid w:val="00DE4A19"/>
    <w:rsid w:val="00DE5D80"/>
    <w:rsid w:val="00DF58CD"/>
    <w:rsid w:val="00DF65DE"/>
    <w:rsid w:val="00DF7BF1"/>
    <w:rsid w:val="00E019A5"/>
    <w:rsid w:val="00E02EC8"/>
    <w:rsid w:val="00E037F5"/>
    <w:rsid w:val="00E04ECB"/>
    <w:rsid w:val="00E05544"/>
    <w:rsid w:val="00E05A09"/>
    <w:rsid w:val="00E06CA1"/>
    <w:rsid w:val="00E11296"/>
    <w:rsid w:val="00E172B8"/>
    <w:rsid w:val="00E17BE2"/>
    <w:rsid w:val="00E17C94"/>
    <w:rsid w:val="00E17FB4"/>
    <w:rsid w:val="00E20B75"/>
    <w:rsid w:val="00E211E7"/>
    <w:rsid w:val="00E214F2"/>
    <w:rsid w:val="00E2371E"/>
    <w:rsid w:val="00E24BD7"/>
    <w:rsid w:val="00E26523"/>
    <w:rsid w:val="00E26809"/>
    <w:rsid w:val="00E30E6B"/>
    <w:rsid w:val="00E32C3B"/>
    <w:rsid w:val="00E3412D"/>
    <w:rsid w:val="00E3561B"/>
    <w:rsid w:val="00E56991"/>
    <w:rsid w:val="00E57322"/>
    <w:rsid w:val="00E60CA8"/>
    <w:rsid w:val="00E628CB"/>
    <w:rsid w:val="00E62AD9"/>
    <w:rsid w:val="00E638C8"/>
    <w:rsid w:val="00E71F5E"/>
    <w:rsid w:val="00E72004"/>
    <w:rsid w:val="00E72E50"/>
    <w:rsid w:val="00E73390"/>
    <w:rsid w:val="00E7509B"/>
    <w:rsid w:val="00E81ED1"/>
    <w:rsid w:val="00E85571"/>
    <w:rsid w:val="00E86590"/>
    <w:rsid w:val="00E907FF"/>
    <w:rsid w:val="00E92E32"/>
    <w:rsid w:val="00E9540C"/>
    <w:rsid w:val="00EA0478"/>
    <w:rsid w:val="00EA3D89"/>
    <w:rsid w:val="00EA42D1"/>
    <w:rsid w:val="00EA42EF"/>
    <w:rsid w:val="00EB1EAB"/>
    <w:rsid w:val="00EB2DD1"/>
    <w:rsid w:val="00EB6B37"/>
    <w:rsid w:val="00EC29FE"/>
    <w:rsid w:val="00EC3019"/>
    <w:rsid w:val="00EC3C70"/>
    <w:rsid w:val="00EC55CF"/>
    <w:rsid w:val="00ED0FE1"/>
    <w:rsid w:val="00ED2E57"/>
    <w:rsid w:val="00ED3330"/>
    <w:rsid w:val="00ED3A3D"/>
    <w:rsid w:val="00ED538A"/>
    <w:rsid w:val="00ED5B7B"/>
    <w:rsid w:val="00ED6FBC"/>
    <w:rsid w:val="00EE2F16"/>
    <w:rsid w:val="00EE3861"/>
    <w:rsid w:val="00EE3C9B"/>
    <w:rsid w:val="00EE6D44"/>
    <w:rsid w:val="00EE71FB"/>
    <w:rsid w:val="00EE74CE"/>
    <w:rsid w:val="00EF2E73"/>
    <w:rsid w:val="00EF7683"/>
    <w:rsid w:val="00EF7A2D"/>
    <w:rsid w:val="00F04F8D"/>
    <w:rsid w:val="00F079E2"/>
    <w:rsid w:val="00F1087C"/>
    <w:rsid w:val="00F10AD0"/>
    <w:rsid w:val="00F10B69"/>
    <w:rsid w:val="00F116CC"/>
    <w:rsid w:val="00F12885"/>
    <w:rsid w:val="00F12BD1"/>
    <w:rsid w:val="00F15327"/>
    <w:rsid w:val="00F168CF"/>
    <w:rsid w:val="00F23DFE"/>
    <w:rsid w:val="00F2555C"/>
    <w:rsid w:val="00F31DF3"/>
    <w:rsid w:val="00F33AE4"/>
    <w:rsid w:val="00F33AE5"/>
    <w:rsid w:val="00F35218"/>
    <w:rsid w:val="00F3597D"/>
    <w:rsid w:val="00F42D72"/>
    <w:rsid w:val="00F4376D"/>
    <w:rsid w:val="00F45304"/>
    <w:rsid w:val="00F45399"/>
    <w:rsid w:val="00F465EA"/>
    <w:rsid w:val="00F51746"/>
    <w:rsid w:val="00F52957"/>
    <w:rsid w:val="00F54E7B"/>
    <w:rsid w:val="00F55A88"/>
    <w:rsid w:val="00F55DBD"/>
    <w:rsid w:val="00F62464"/>
    <w:rsid w:val="00F729E9"/>
    <w:rsid w:val="00F72E6D"/>
    <w:rsid w:val="00F74005"/>
    <w:rsid w:val="00F74C20"/>
    <w:rsid w:val="00F76884"/>
    <w:rsid w:val="00F83D24"/>
    <w:rsid w:val="00F83DD9"/>
    <w:rsid w:val="00F83F40"/>
    <w:rsid w:val="00F84CDF"/>
    <w:rsid w:val="00F86450"/>
    <w:rsid w:val="00F93E4E"/>
    <w:rsid w:val="00F97C06"/>
    <w:rsid w:val="00FA00EA"/>
    <w:rsid w:val="00FA117A"/>
    <w:rsid w:val="00FB386A"/>
    <w:rsid w:val="00FB7EC6"/>
    <w:rsid w:val="00FC0786"/>
    <w:rsid w:val="00FC49EF"/>
    <w:rsid w:val="00FC597A"/>
    <w:rsid w:val="00FD7497"/>
    <w:rsid w:val="00FE0324"/>
    <w:rsid w:val="00FE36E2"/>
    <w:rsid w:val="00FF11AD"/>
    <w:rsid w:val="00FF2971"/>
    <w:rsid w:val="00FF34D4"/>
    <w:rsid w:val="00FF3B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nhideWhenUsed/>
    <w:rsid w:val="00C047A7"/>
    <w:rPr>
      <w:sz w:val="20"/>
      <w:szCs w:val="20"/>
    </w:rPr>
  </w:style>
  <w:style w:type="character" w:customStyle="1" w:styleId="TekstprzypisudolnegoZnak">
    <w:name w:val="Tekst przypisu dolnego Znak"/>
    <w:link w:val="Tekstprzypisudolnego"/>
    <w:rsid w:val="00C047A7"/>
    <w:rPr>
      <w:lang w:eastAsia="en-US"/>
    </w:rPr>
  </w:style>
  <w:style w:type="character" w:styleId="Odwoanieprzypisudolnego">
    <w:name w:val="footnote reference"/>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Standard">
    <w:name w:val="Standard"/>
    <w:rsid w:val="00DD770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Zwykytekst">
    <w:name w:val="Plain Text"/>
    <w:basedOn w:val="Normalny"/>
    <w:link w:val="ZwykytekstZnak"/>
    <w:uiPriority w:val="99"/>
    <w:unhideWhenUsed/>
    <w:rsid w:val="001E2800"/>
    <w:pPr>
      <w:spacing w:line="240" w:lineRule="auto"/>
    </w:pPr>
    <w:rPr>
      <w:szCs w:val="21"/>
    </w:rPr>
  </w:style>
  <w:style w:type="character" w:customStyle="1" w:styleId="ZwykytekstZnak">
    <w:name w:val="Zwykły tekst Znak"/>
    <w:link w:val="Zwykytekst"/>
    <w:uiPriority w:val="99"/>
    <w:rsid w:val="001E2800"/>
    <w:rPr>
      <w:sz w:val="22"/>
      <w:szCs w:val="21"/>
      <w:lang w:eastAsia="en-US"/>
    </w:rPr>
  </w:style>
</w:styles>
</file>

<file path=word/webSettings.xml><?xml version="1.0" encoding="utf-8"?>
<w:webSettings xmlns:r="http://schemas.openxmlformats.org/officeDocument/2006/relationships" xmlns:w="http://schemas.openxmlformats.org/wordprocessingml/2006/main">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70170771">
      <w:bodyDiv w:val="1"/>
      <w:marLeft w:val="0"/>
      <w:marRight w:val="0"/>
      <w:marTop w:val="0"/>
      <w:marBottom w:val="0"/>
      <w:divBdr>
        <w:top w:val="none" w:sz="0" w:space="0" w:color="auto"/>
        <w:left w:val="none" w:sz="0" w:space="0" w:color="auto"/>
        <w:bottom w:val="none" w:sz="0" w:space="0" w:color="auto"/>
        <w:right w:val="none" w:sz="0" w:space="0" w:color="auto"/>
      </w:divBdr>
      <w:divsChild>
        <w:div w:id="1670986433">
          <w:marLeft w:val="0"/>
          <w:marRight w:val="0"/>
          <w:marTop w:val="0"/>
          <w:marBottom w:val="0"/>
          <w:divBdr>
            <w:top w:val="none" w:sz="0" w:space="0" w:color="auto"/>
            <w:left w:val="none" w:sz="0" w:space="0" w:color="auto"/>
            <w:bottom w:val="none" w:sz="0" w:space="0" w:color="auto"/>
            <w:right w:val="none" w:sz="0" w:space="0" w:color="auto"/>
          </w:divBdr>
          <w:divsChild>
            <w:div w:id="46728255">
              <w:marLeft w:val="0"/>
              <w:marRight w:val="0"/>
              <w:marTop w:val="0"/>
              <w:marBottom w:val="0"/>
              <w:divBdr>
                <w:top w:val="none" w:sz="0" w:space="0" w:color="auto"/>
                <w:left w:val="none" w:sz="0" w:space="0" w:color="auto"/>
                <w:bottom w:val="none" w:sz="0" w:space="0" w:color="auto"/>
                <w:right w:val="none" w:sz="0" w:space="0" w:color="auto"/>
              </w:divBdr>
              <w:divsChild>
                <w:div w:id="588320482">
                  <w:marLeft w:val="0"/>
                  <w:marRight w:val="0"/>
                  <w:marTop w:val="0"/>
                  <w:marBottom w:val="0"/>
                  <w:divBdr>
                    <w:top w:val="none" w:sz="0" w:space="0" w:color="auto"/>
                    <w:left w:val="none" w:sz="0" w:space="0" w:color="auto"/>
                    <w:bottom w:val="none" w:sz="0" w:space="0" w:color="auto"/>
                    <w:right w:val="none" w:sz="0" w:space="0" w:color="auto"/>
                  </w:divBdr>
                  <w:divsChild>
                    <w:div w:id="12308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1521">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19649236">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80174823">
      <w:bodyDiv w:val="1"/>
      <w:marLeft w:val="0"/>
      <w:marRight w:val="0"/>
      <w:marTop w:val="0"/>
      <w:marBottom w:val="0"/>
      <w:divBdr>
        <w:top w:val="none" w:sz="0" w:space="0" w:color="auto"/>
        <w:left w:val="none" w:sz="0" w:space="0" w:color="auto"/>
        <w:bottom w:val="none" w:sz="0" w:space="0" w:color="auto"/>
        <w:right w:val="none" w:sz="0" w:space="0" w:color="auto"/>
      </w:divBdr>
    </w:div>
    <w:div w:id="1329135959">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16632105">
      <w:bodyDiv w:val="1"/>
      <w:marLeft w:val="0"/>
      <w:marRight w:val="0"/>
      <w:marTop w:val="0"/>
      <w:marBottom w:val="0"/>
      <w:divBdr>
        <w:top w:val="none" w:sz="0" w:space="0" w:color="auto"/>
        <w:left w:val="none" w:sz="0" w:space="0" w:color="auto"/>
        <w:bottom w:val="none" w:sz="0" w:space="0" w:color="auto"/>
        <w:right w:val="none" w:sz="0" w:space="0" w:color="auto"/>
      </w:divBdr>
    </w:div>
    <w:div w:id="1486778909">
      <w:bodyDiv w:val="1"/>
      <w:marLeft w:val="0"/>
      <w:marRight w:val="0"/>
      <w:marTop w:val="0"/>
      <w:marBottom w:val="0"/>
      <w:divBdr>
        <w:top w:val="none" w:sz="0" w:space="0" w:color="auto"/>
        <w:left w:val="none" w:sz="0" w:space="0" w:color="auto"/>
        <w:bottom w:val="none" w:sz="0" w:space="0" w:color="auto"/>
        <w:right w:val="none" w:sz="0" w:space="0" w:color="auto"/>
      </w:divBdr>
    </w:div>
    <w:div w:id="1653825858">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14045405">
      <w:bodyDiv w:val="1"/>
      <w:marLeft w:val="0"/>
      <w:marRight w:val="0"/>
      <w:marTop w:val="0"/>
      <w:marBottom w:val="0"/>
      <w:divBdr>
        <w:top w:val="none" w:sz="0" w:space="0" w:color="auto"/>
        <w:left w:val="none" w:sz="0" w:space="0" w:color="auto"/>
        <w:bottom w:val="none" w:sz="0" w:space="0" w:color="auto"/>
        <w:right w:val="none" w:sz="0" w:space="0" w:color="auto"/>
      </w:divBdr>
      <w:divsChild>
        <w:div w:id="1036465762">
          <w:marLeft w:val="0"/>
          <w:marRight w:val="0"/>
          <w:marTop w:val="0"/>
          <w:marBottom w:val="0"/>
          <w:divBdr>
            <w:top w:val="none" w:sz="0" w:space="0" w:color="auto"/>
            <w:left w:val="none" w:sz="0" w:space="0" w:color="auto"/>
            <w:bottom w:val="none" w:sz="0" w:space="0" w:color="auto"/>
            <w:right w:val="none" w:sz="0" w:space="0" w:color="auto"/>
          </w:divBdr>
          <w:divsChild>
            <w:div w:id="156504577">
              <w:marLeft w:val="0"/>
              <w:marRight w:val="0"/>
              <w:marTop w:val="0"/>
              <w:marBottom w:val="0"/>
              <w:divBdr>
                <w:top w:val="none" w:sz="0" w:space="0" w:color="auto"/>
                <w:left w:val="none" w:sz="0" w:space="0" w:color="auto"/>
                <w:bottom w:val="none" w:sz="0" w:space="0" w:color="auto"/>
                <w:right w:val="none" w:sz="0" w:space="0" w:color="auto"/>
              </w:divBdr>
              <w:divsChild>
                <w:div w:id="1134787843">
                  <w:marLeft w:val="0"/>
                  <w:marRight w:val="0"/>
                  <w:marTop w:val="0"/>
                  <w:marBottom w:val="0"/>
                  <w:divBdr>
                    <w:top w:val="none" w:sz="0" w:space="0" w:color="auto"/>
                    <w:left w:val="none" w:sz="0" w:space="0" w:color="auto"/>
                    <w:bottom w:val="none" w:sz="0" w:space="0" w:color="auto"/>
                    <w:right w:val="none" w:sz="0" w:space="0" w:color="auto"/>
                  </w:divBdr>
                  <w:divsChild>
                    <w:div w:id="1804805294">
                      <w:marLeft w:val="0"/>
                      <w:marRight w:val="0"/>
                      <w:marTop w:val="0"/>
                      <w:marBottom w:val="0"/>
                      <w:divBdr>
                        <w:top w:val="none" w:sz="0" w:space="0" w:color="auto"/>
                        <w:left w:val="none" w:sz="0" w:space="0" w:color="auto"/>
                        <w:bottom w:val="none" w:sz="0" w:space="0" w:color="auto"/>
                        <w:right w:val="none" w:sz="0" w:space="0" w:color="auto"/>
                      </w:divBdr>
                      <w:divsChild>
                        <w:div w:id="1349063951">
                          <w:marLeft w:val="0"/>
                          <w:marRight w:val="0"/>
                          <w:marTop w:val="0"/>
                          <w:marBottom w:val="0"/>
                          <w:divBdr>
                            <w:top w:val="none" w:sz="0" w:space="0" w:color="auto"/>
                            <w:left w:val="none" w:sz="0" w:space="0" w:color="auto"/>
                            <w:bottom w:val="none" w:sz="0" w:space="0" w:color="auto"/>
                            <w:right w:val="none" w:sz="0" w:space="0" w:color="auto"/>
                          </w:divBdr>
                          <w:divsChild>
                            <w:div w:id="5979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0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kty.ngo.pl/files/wiadomosci.ngo.pl/public/civicpedia/Raport_Klon_Kondycja_201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gov.pl/obszary-tematyczne/gospodarka-spoleczna-wolontariat/gospodarka-spoleczna-trzeci-sektor/dzialalnosc-stowarzyszen-i-podobnych-organizacji-spolecznych-fundacji-spolecznych-podmiotow-wyznaniowych-oraz-samorzadu-gospodarczego-i-zawodowego-w-2014-r-wyniki-wstepne,3,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gov.pl/obszary-tematyczne/gospodarka-spoleczna-wolontariat/wolontariat-i-praca-niezarobkowa-na-rzecz-innych/wolontariat-w-organizacjach-2016-r-wstepne-wyniki-badania-praca-niezarobkowa-poza-gospodarstwem-domowym,2,2.html" TargetMode="External"/><Relationship Id="rId5" Type="http://schemas.openxmlformats.org/officeDocument/2006/relationships/webSettings" Target="webSettings.xml"/><Relationship Id="rId10" Type="http://schemas.openxmlformats.org/officeDocument/2006/relationships/hyperlink" Target="http://stat.gov.pl/obszary-tematyczne/gospodarka-spoleczna-wolontariat/gospodarka-spoleczna-trzeci-sektor/organizacje-pozytku-publicznego-i-1,4,3.html" TargetMode="External"/><Relationship Id="rId4" Type="http://schemas.openxmlformats.org/officeDocument/2006/relationships/settings" Target="settings.xml"/><Relationship Id="rId9" Type="http://schemas.openxmlformats.org/officeDocument/2006/relationships/hyperlink" Target="http://stat.gov.pl/obszary-tematyczne/gospodarka-spoleczna-wolontariat/gospodarka-spoleczna-trzeci-sektor/sektor-non-profit-w-2014-r-,1,5.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147B-3FCA-42E4-93FC-5679338D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6505</Words>
  <Characters>39034</Characters>
  <Application>Microsoft Office Word</Application>
  <DocSecurity>4</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45449</CharactersWithSpaces>
  <SharedDoc>false</SharedDoc>
  <HLinks>
    <vt:vector size="30" baseType="variant">
      <vt:variant>
        <vt:i4>2555941</vt:i4>
      </vt:variant>
      <vt:variant>
        <vt:i4>77</vt:i4>
      </vt:variant>
      <vt:variant>
        <vt:i4>0</vt:i4>
      </vt:variant>
      <vt:variant>
        <vt:i4>5</vt:i4>
      </vt:variant>
      <vt:variant>
        <vt:lpwstr>http://stat.gov.pl/obszary-tematyczne/gospodarka-spoleczna-wolontariat/gospodarka-spoleczna-trzeci-sektor/dzialalnosc-stowarzyszen-i-podobnych-organizacji-spolecznych-fundacji-spolecznych-podmiotow-wyznaniowych-oraz-samorzadu-gospodarczego-i-zawodowego-w-2014-r-wyniki-wstepne,3,6.html</vt:lpwstr>
      </vt:variant>
      <vt:variant>
        <vt:lpwstr/>
      </vt:variant>
      <vt:variant>
        <vt:i4>6029333</vt:i4>
      </vt:variant>
      <vt:variant>
        <vt:i4>74</vt:i4>
      </vt:variant>
      <vt:variant>
        <vt:i4>0</vt:i4>
      </vt:variant>
      <vt:variant>
        <vt:i4>5</vt:i4>
      </vt:variant>
      <vt:variant>
        <vt:lpwstr>http://stat.gov.pl/obszary-tematyczne/gospodarka-spoleczna-wolontariat/wolontariat-i-praca-niezarobkowa-na-rzecz-innych/wolontariat-w-organizacjach-2016-r-wstepne-wyniki-badania-praca-niezarobkowa-poza-gospodarstwem-domowym,2,2.html</vt:lpwstr>
      </vt:variant>
      <vt:variant>
        <vt:lpwstr/>
      </vt:variant>
      <vt:variant>
        <vt:i4>8192035</vt:i4>
      </vt:variant>
      <vt:variant>
        <vt:i4>71</vt:i4>
      </vt:variant>
      <vt:variant>
        <vt:i4>0</vt:i4>
      </vt:variant>
      <vt:variant>
        <vt:i4>5</vt:i4>
      </vt:variant>
      <vt:variant>
        <vt:lpwstr>http://stat.gov.pl/obszary-tematyczne/gospodarka-spoleczna-wolontariat/gospodarka-spoleczna-trzeci-sektor/organizacje-pozytku-publicznego-i-1,4,3.html</vt:lpwstr>
      </vt:variant>
      <vt:variant>
        <vt:lpwstr/>
      </vt:variant>
      <vt:variant>
        <vt:i4>6357102</vt:i4>
      </vt:variant>
      <vt:variant>
        <vt:i4>68</vt:i4>
      </vt:variant>
      <vt:variant>
        <vt:i4>0</vt:i4>
      </vt:variant>
      <vt:variant>
        <vt:i4>5</vt:i4>
      </vt:variant>
      <vt:variant>
        <vt:lpwstr>http://stat.gov.pl/obszary-tematyczne/gospodarka-spoleczna-wolontariat/gospodarka-spoleczna-trzeci-sektor/sektor-non-profit-w-2014-r-,1,5.html</vt:lpwstr>
      </vt:variant>
      <vt:variant>
        <vt:lpwstr/>
      </vt:variant>
      <vt:variant>
        <vt:i4>4718624</vt:i4>
      </vt:variant>
      <vt:variant>
        <vt:i4>65</vt:i4>
      </vt:variant>
      <vt:variant>
        <vt:i4>0</vt:i4>
      </vt:variant>
      <vt:variant>
        <vt:i4>5</vt:i4>
      </vt:variant>
      <vt:variant>
        <vt:lpwstr>http://fakty.ngo.pl/files/wiadomosci.ngo.pl/public/civicpedia/Raport_Klon_Kondycja_2015.pdf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2017-07-10T11:21:00Z</dcterms:created>
  <dcterms:modified xsi:type="dcterms:W3CDTF">2017-07-10T11:21:00Z</dcterms:modified>
</cp:coreProperties>
</file>